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8.png" ContentType="image/png"/>
  <Override PartName="/word/media/rId50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2026-05-19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   group        value1           value2     </w:t>
      </w:r>
      <w:r>
        <w:br/>
      </w:r>
      <w:r>
        <w:rPr>
          <w:rStyle w:val="VerbatimChar"/>
        </w:rPr>
        <w:t xml:space="preserve">#&gt;  Min.   : 1.00   Length   :50   Min.   : 79.60   Min.   :32.43  </w:t>
      </w:r>
      <w:r>
        <w:br/>
      </w:r>
      <w:r>
        <w:rPr>
          <w:rStyle w:val="VerbatimChar"/>
        </w:rPr>
        <w:t xml:space="preserve">#&gt;  1st Qu.:13.25   N.unique : 2   1st Qu.: 89.29   1st Qu.:46.76  </w:t>
      </w:r>
      <w:r>
        <w:br/>
      </w:r>
      <w:r>
        <w:rPr>
          <w:rStyle w:val="VerbatimChar"/>
        </w:rPr>
        <w:t xml:space="preserve">#&gt;  Median :25.50   N.blank  : 0   Median : 96.64   Median :51.04  </w:t>
      </w:r>
      <w:r>
        <w:br/>
      </w:r>
      <w:r>
        <w:rPr>
          <w:rStyle w:val="VerbatimChar"/>
        </w:rPr>
        <w:t xml:space="preserve">#&gt;  Mean   :25.50   Min.nchar: 1   Mean   : 99.87   Mean   :52.49  </w:t>
      </w:r>
      <w:r>
        <w:br/>
      </w:r>
      <w:r>
        <w:rPr>
          <w:rStyle w:val="VerbatimChar"/>
        </w:rPr>
        <w:t xml:space="preserve">#&gt;  3rd Qu.:37.75   Max.nchar: 1   3rd Qu.:107.93   3rd Qu.:59.34  </w:t>
      </w:r>
      <w:r>
        <w:br/>
      </w:r>
      <w:r>
        <w:rPr>
          <w:rStyle w:val="VerbatimChar"/>
        </w:rPr>
        <w:t xml:space="preserve">#&gt;  Max.   :50.00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47.43</w:t>
      </w:r>
    </w:p>
    <w:bookmarkEnd w:id="35"/>
    <w:bookmarkStart w:id="48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renders Quarto theorem and proof environments as styled callout blocks. This makes theorems, definitions, examples, and proofs visually distinct and easier to navigate.</w:t>
      </w:r>
    </w:p>
    <w:bookmarkStart w:id="41" w:name="definitions-and-theorems"/>
    <w:p>
      <w:pPr>
        <w:pStyle w:val="Heading3"/>
      </w:pPr>
      <w:r>
        <w:t xml:space="preserve">5.1 Definitions and Theorems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se"/>
          <w:p>
            <w:pPr>
              <w:pStyle w:val="BodyText"/>
            </w:pPr>
            <w:r>
              <w:rPr>
                <w:b/>
                <w:bCs/>
              </w:rPr>
              <w:t xml:space="preserve">Definition 1 (Standard Error)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standard error</w:t>
            </w:r>
            <w:r>
              <w:t xml:space="preserve"> </w:t>
            </w:r>
            <w:r>
              <w:t xml:space="preserve">of the mean for a sample of size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with standard deviation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bookmarkEnd w:id="3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7" w:name="thm-clt"/>
          <w:p>
            <w:pPr>
              <w:pStyle w:val="BodyText"/>
            </w:pPr>
            <w:r>
              <w:rPr>
                <w:b/>
                <w:bCs/>
              </w:rPr>
              <w:t xml:space="preserve">Theorem 1 (Central Limit Theorem)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be independent and identically distributed random variables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finite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 Then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num>
                  <m:den>
                    <m:r>
                      <m:t>σ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limUpp>
                  <m:e>
                    <m:r>
                      <m:rPr>
                        <m:sty m:val="p"/>
                      </m:rPr>
                      <m:t>→</m:t>
                    </m:r>
                  </m:e>
                  <m:lim>
                    <m:r>
                      <m:t>d</m:t>
                    </m:r>
                  </m:lim>
                </m:limUpp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 any standard probability textbook.</w:t>
            </w:r>
          </w:p>
          <w:p/>
        </w:tc>
      </w:tr>
    </w:tbl>
    <w:bookmarkEnd w:id="41"/>
    <w:bookmarkStart w:id="44" w:name="lemmas-and-corollaries"/>
    <w:p>
      <w:pPr>
        <w:pStyle w:val="Heading3"/>
      </w:pPr>
      <w:r>
        <w:t xml:space="preserve">5.2 Lemmas and Corollaries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lem-var-sum"/>
          <w:p>
            <w:pPr>
              <w:pStyle w:val="BodyText"/>
            </w:pPr>
            <w:r>
              <w:rPr>
                <w:b/>
                <w:bCs/>
              </w:rPr>
              <w:t xml:space="preserve">Lemma 1 (Variance of a Sum)</w:t>
            </w:r>
            <w:r>
              <w:t xml:space="preserve"> </w:t>
            </w:r>
            <w:r>
              <w:t xml:space="preserve">For independent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3" w:name="cor-se-clt"/>
          <w:p>
            <w:pPr>
              <w:pStyle w:val="BodyText"/>
            </w:pPr>
            <w:r>
              <w:rPr>
                <w:b/>
                <w:bCs/>
              </w:rPr>
              <w:t xml:space="preserve">Corollary 1 (Confidence Interval from CLT)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thm-clt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def-se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, an approximate 95% confidence interval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±</m:t>
                </m:r>
                <m:r>
                  <m:t>1.96</m:t>
                </m:r>
                <m:r>
                  <m:rPr>
                    <m:sty m:val="p"/>
                  </m:rPr>
                  <m:t>⋅</m:t>
                </m:r>
                <m:r>
                  <m:t>S</m:t>
                </m:r>
                <m:r>
                  <m:t>E</m:t>
                </m:r>
              </m:oMath>
            </m:oMathPara>
          </w:p>
          <w:bookmarkEnd w:id="43"/>
        </w:tc>
      </w:tr>
    </w:tbl>
    <w:bookmarkEnd w:id="44"/>
    <w:bookmarkStart w:id="47" w:name="examples-and-exercises"/>
    <w:p>
      <w:pPr>
        <w:pStyle w:val="Heading3"/>
      </w:pPr>
      <w:r>
        <w:t xml:space="preserve">5.3 Examples and Exercises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exm-ci"/>
          <w:p>
            <w:pPr>
              <w:pStyle w:val="BodyText"/>
            </w:pPr>
            <w:r>
              <w:rPr>
                <w:b/>
                <w:bCs/>
              </w:rPr>
              <w:t xml:space="preserve">Example 1 (95% Confidence Interval)</w:t>
            </w:r>
            <w:r>
              <w:t xml:space="preserve"> </w:t>
            </w:r>
            <w:r>
              <w:t xml:space="preserve">For the sample below, we calculate a 95% confidence interval for the mean: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sample_vals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50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(sample_vals)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1.96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se</w:t>
            </w:r>
            <w:r>
              <w:br/>
            </w:r>
            <w:r>
              <w:rPr>
                <w:rStyle w:val="FunctionTok"/>
              </w:rPr>
              <w:t xml:space="preserve">cat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sprintf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 = %.3f, 95%% CI: [%.3f, %.3f]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(sample_vals), ci[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], ci[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]))</w:t>
            </w:r>
            <w:r>
              <w:br/>
            </w:r>
            <w:r>
              <w:rPr>
                <w:rStyle w:val="CommentTok"/>
              </w:rPr>
              <w:t xml:space="preserve">#&gt; Mean = 4.929, 95% CI: [4.290, 5.567]</w:t>
            </w:r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exr-se"/>
          <w:p>
            <w:pPr>
              <w:pStyle w:val="BodyText"/>
            </w:pPr>
            <w:r>
              <w:rPr>
                <w:b/>
                <w:bCs/>
              </w:rPr>
              <w:t xml:space="preserve">Exercise 1 (Exercise: Computing Standard Error)</w:t>
            </w:r>
            <w:r>
              <w:t xml:space="preserve"> </w:t>
            </w:r>
            <w:r>
              <w:t xml:space="preserve">Compute the standard error for a sample of size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100</m:t>
              </m:r>
            </m:oMath>
            <w:r>
              <w:t xml:space="preserve"> </w:t>
            </w:r>
            <w:r>
              <w:t xml:space="preserve">with sample standard deviation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>
                <m:t>15</m:t>
              </m:r>
            </m:oMath>
            <w:r>
              <w:t xml:space="preserve">.</w:t>
            </w:r>
          </w:p>
          <w:bookmarkEnd w:id="4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t>E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r>
                          <m:t>100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15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1.5</m:t>
                </m:r>
              </m:oMath>
            </m:oMathPara>
          </w:p>
          <w:p/>
        </w:tc>
      </w:tr>
    </w:tbl>
    <w:bookmarkEnd w:id="47"/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8" Target="media/rId38.png" /><Relationship Type="http://schemas.openxmlformats.org/officeDocument/2006/relationships/image" Id="rId50" Target="media/rId50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2026-05-19T07:48:15Z</dcterms:created>
  <dcterms:modified xsi:type="dcterms:W3CDTF">2026-05-19T07:48:15Z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2026-05-19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