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Nonparametric Models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r>
        <w:pict>
          <v:rect style="width:0;height:1.5pt" o:hralign="center" o:hrstd="t" o:hr="t"/>
        </w:pict>
      </w:r>
    </w:p>
    <w:bookmarkEnd w:id="9"/>
    <w:bookmarkStart w:id="27" w:name="empirical-cdf-and-quantiles"/>
    <w:p>
      <w:pPr>
        <w:pStyle w:val="Heading1"/>
      </w:pPr>
      <w:r>
        <w:t xml:space="preserve">1. Empirical CDF and quantiles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def-empirical-cdf"/>
          <w:p>
            <w:pPr>
              <w:pStyle w:val="BodyText"/>
            </w:pPr>
            <w:r>
              <w:rPr>
                <w:b/>
                <w:bCs/>
              </w:rPr>
              <w:t xml:space="preserve">Definition 1 (Empirical CDF)</w:t>
            </w:r>
            <w:r>
              <w:t xml:space="preserve"> </w:t>
            </w:r>
            <w:r>
              <w:t xml:space="preserve">For observed values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 empirical CDF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F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I</m:t>
                    </m:r>
                  </m:e>
                </m:nary>
                <m:r>
                  <m:rPr>
                    <m:sty m:val="p"/>
                  </m:rPr>
                  <m:t>(</m:t>
                </m:r>
                <m:sSub>
                  <m:e>
                    <m:r>
                      <m:t>x</m:t>
                    </m:r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≤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  <m:sty m:val="p"/>
                  </m:rPr>
                  <m:t>R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Here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the indicator function: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holds,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otherwise.</w:t>
            </w:r>
          </w:p>
          <w:bookmarkEnd w:id="1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" w:name="def-order-statistics"/>
          <w:p>
            <w:pPr>
              <w:pStyle w:val="BodyText"/>
            </w:pPr>
            <w:r>
              <w:rPr>
                <w:b/>
                <w:bCs/>
              </w:rPr>
              <w:t xml:space="preserve">Definition 2 (Order statistics)</w:t>
            </w:r>
            <w:r>
              <w:t xml:space="preserve"> </w:t>
            </w:r>
            <w:r>
              <w:t xml:space="preserve">For observed values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the order statistics are the sorted values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x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≤</m:t>
                </m:r>
                <m:sSub>
                  <m:e>
                    <m:r>
                      <m:t>x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≤</m:t>
                </m:r>
                <m:sSub>
                  <m:e>
                    <m:r>
                      <m:t>x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  <m:r>
                  <m:rPr>
                    <m:sty m:val="p"/>
                  </m:rPr>
                  <m:t>.</m:t>
                </m:r>
              </m:oMath>
            </m:oMathPara>
          </w:p>
          <w:bookmarkEnd w:id="11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exm-order-statistics"/>
          <w:p>
            <w:pPr>
              <w:pStyle w:val="BodyText"/>
            </w:pPr>
            <w:r>
              <w:rPr>
                <w:b/>
                <w:bCs/>
              </w:rPr>
              <w:t xml:space="preserve">Example 1 (Numerical example: order statistics)</w:t>
            </w:r>
            <w:r>
              <w:t xml:space="preserve"> </w:t>
            </w:r>
            <w:r>
              <w:t xml:space="preserve">If the observed values are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3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 the order statistics are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2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3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, 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4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.</w:t>
            </w:r>
          </w:p>
          <w:bookmarkEnd w:id="1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sample-quantile"/>
          <w:p>
            <w:pPr>
              <w:pStyle w:val="BodyText"/>
            </w:pPr>
            <w:r>
              <w:rPr>
                <w:b/>
                <w:bCs/>
              </w:rPr>
              <w:t xml:space="preserve">Definition 3 (Sample quantile)</w:t>
            </w:r>
            <w:r>
              <w:t xml:space="preserve"> </w:t>
            </w:r>
            <w:r>
              <w:t xml:space="preserve">Given</w:t>
            </w:r>
            <w:r>
              <w:t xml:space="preserve"> </w:t>
            </w:r>
            <w:hyperlink w:anchor="def-empirical-cdf">
              <w:r>
                <w:rPr>
                  <w:rStyle w:val="Hyperlink"/>
                </w:rPr>
                <w:t xml:space="preserve">empirical CDF</w:t>
              </w:r>
            </w:hyperlink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F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 sample quantile function (EQF)</w:t>
            </w:r>
            <w:r>
              <w:t xml:space="preserve"> </w:t>
            </w:r>
            <w:r>
              <w:t xml:space="preserve">(the generalized inverse of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F</m:t>
                  </m:r>
                </m:e>
              </m:acc>
            </m:oMath>
            <w:r>
              <w:t xml:space="preserve">)</w:t>
            </w:r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̂"/>
                  </m:accPr>
                  <m:e>
                    <m:r>
                      <m:t>Q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inf</m:t>
                </m:r>
                <m:r>
                  <m:rPr>
                    <m:sty m:val="p"/>
                  </m:rPr>
                  <m:t>{</m:t>
                </m:r>
                <m:r>
                  <m:t>t</m:t>
                </m:r>
                <m:r>
                  <m:rPr>
                    <m:sty m:val="p"/>
                  </m:rPr>
                  <m:t>:</m:t>
                </m:r>
                <m:acc>
                  <m:accPr>
                    <m:chr m:val="̂"/>
                  </m:accPr>
                  <m:e>
                    <m:r>
                      <m:t>F</m:t>
                    </m:r>
                  </m:e>
                </m:acc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≥</m:t>
                </m:r>
                <m:r>
                  <m:t>p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0</m:t>
                </m:r>
                <m:r>
                  <m:rPr>
                    <m:sty m:val="p"/>
                  </m:rPr>
                  <m:t>&lt;</m:t>
                </m:r>
                <m:r>
                  <m:t>p</m:t>
                </m:r>
                <m:r>
                  <m:rPr>
                    <m:sty m:val="p"/>
                  </m:rPr>
                  <m:t>≤</m:t>
                </m:r>
                <m:r>
                  <m:t>1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13"/>
        </w:tc>
      </w:tr>
    </w:tbl>
    <w:p>
      <w:pPr>
        <w:pStyle w:val="FirstParagraph"/>
      </w:pPr>
      <w:r>
        <w:t xml:space="preserve">The</w:t>
      </w:r>
      <w:r>
        <w:t xml:space="preserve"> </w:t>
      </w:r>
      <w:hyperlink r:id="rId14">
        <w:r>
          <w:rPr>
            <w:rStyle w:val="Hyperlink"/>
          </w:rPr>
          <w:t xml:space="preserve">CDF</w:t>
        </w:r>
      </w:hyperlink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w:hyperlink r:id="rId15">
        <w:r>
          <w:rPr>
            <w:rStyle w:val="Hyperlink"/>
          </w:rPr>
          <w:t xml:space="preserve">quantile function</w:t>
        </w:r>
      </w:hyperlink>
      <w:r>
        <w:t xml:space="preserve"> </w:t>
      </w:r>
      <m:oMath>
        <m:r>
          <m:t>Q</m:t>
        </m:r>
      </m:oMath>
      <w:r>
        <w:t xml:space="preserve"> </w:t>
      </w:r>
      <w:r>
        <w:t xml:space="preserve">are population-level functions,</w:t>
      </w:r>
      <w:r>
        <w:t xml:space="preserve"> </w:t>
      </w:r>
      <w:r>
        <w:t xml:space="preserve">while</w:t>
      </w:r>
      <w:r>
        <w:t xml:space="preserve"> </w:t>
      </w:r>
      <m:oMath>
        <m:acc>
          <m:accPr>
            <m:chr m:val="̂"/>
          </m:accPr>
          <m:e>
            <m:r>
              <m:t>F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acc>
          <m:accPr>
            <m:chr m:val="̂"/>
          </m:accPr>
          <m:e>
            <m:r>
              <m:t>Q</m:t>
            </m:r>
          </m:e>
        </m:acc>
      </m:oMath>
      <w:r>
        <w:t xml:space="preserve"> </w:t>
      </w:r>
      <w:r>
        <w:t xml:space="preserve">are sample-based estimates of them.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thm-sample-quantile-order-statistics"/>
          <w:p>
            <w:pPr>
              <w:pStyle w:val="BodyText"/>
            </w:pPr>
            <w:r>
              <w:rPr>
                <w:b/>
                <w:bCs/>
              </w:rPr>
              <w:t xml:space="preserve">Theorem 1 (Order-statistics form of the sample quantile)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≤</m:t>
              </m:r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)</m:t>
                  </m:r>
                </m:sub>
              </m:sSub>
            </m:oMath>
            <w:r>
              <w:t xml:space="preserve"> </w:t>
            </w:r>
            <w:r>
              <w:t xml:space="preserve">are the order statistics,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i</m:t>
                  </m:r>
                  <m:r>
                    <m:rPr>
                      <m:sty m:val="p"/>
                    </m:rPr>
                    <m:t>)</m:t>
                  </m:r>
                </m:sub>
              </m:sSub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n</m:t>
              </m:r>
              <m:r>
                <m:rPr>
                  <m:sty m:val="p"/>
                </m:rPr>
                <m:t>,</m:t>
              </m:r>
              <m:r>
                <m:t>i</m:t>
              </m:r>
              <m:r>
                <m:rPr>
                  <m:sty m:val="p"/>
                </m:rPr>
                <m:t>/</m:t>
              </m:r>
              <m:r>
                <m:t>n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In particular,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i</m:t>
              </m:r>
              <m:r>
                <m:rPr>
                  <m:sty m:val="p"/>
                </m:rPr>
                <m:t>/</m:t>
              </m:r>
              <m: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rPr>
                      <m:sty m:val="p"/>
                    </m:rPr>
                    <m:t>(</m:t>
                  </m:r>
                  <m:r>
                    <m:t>i</m:t>
                  </m:r>
                  <m:r>
                    <m:rPr>
                      <m:sty m:val="p"/>
                    </m:rPr>
                    <m:t>)</m:t>
                  </m:r>
                </m:sub>
              </m:sSub>
            </m:oMath>
            <w:r>
              <w:t xml:space="preserve">.</w:t>
            </w:r>
          </w:p>
          <w:bookmarkEnd w:id="1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7" w:name="exm-sample-quantile"/>
          <w:p>
            <w:pPr>
              <w:pStyle w:val="BodyText"/>
            </w:pPr>
            <w:r>
              <w:rPr>
                <w:b/>
                <w:bCs/>
              </w:rPr>
              <w:t xml:space="preserve">Example 2 (Numerical example: sample quantiles)</w:t>
            </w:r>
            <w:r>
              <w:t xml:space="preserve"> </w:t>
            </w:r>
            <w:r>
              <w:t xml:space="preserve">Using the same data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7</m:t>
              </m:r>
              <m:r>
                <m:rPr>
                  <m:sty m:val="p"/>
                </m:rPr>
                <m:t>,</m:t>
              </m:r>
              <m:r>
                <m:t>3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order statistics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7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sample quantile function is stepwise: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4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3</m:t>
              </m:r>
              <m:r>
                <m:rPr>
                  <m:sty m:val="p"/>
                </m:rPr>
                <m:t>/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3</m:t>
              </m:r>
              <m:r>
                <m:rPr>
                  <m:sty m:val="p"/>
                </m:rPr>
                <m:t>/</m:t>
              </m:r>
              <m:r>
                <m:t>4</m:t>
              </m:r>
              <m:r>
                <m:rPr>
                  <m:sty m:val="p"/>
                </m:rPr>
                <m:t>&lt;</m:t>
              </m:r>
              <m:r>
                <m:t>p</m:t>
              </m:r>
              <m:r>
                <m:rPr>
                  <m:sty m:val="p"/>
                </m:rPr>
                <m:t>≤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Q</m:t>
                  </m:r>
                </m:e>
              </m:acc>
              <m:r>
                <m:rPr>
                  <m:sty m:val="p"/>
                </m:rPr>
                <m:t>(</m:t>
              </m:r>
              <m:r>
                <m:t>0.9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.</w:t>
            </w:r>
          </w:p>
          <w:bookmarkEnd w:id="17"/>
        </w:tc>
      </w:tr>
    </w:tbl>
    <w:p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x_ord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p_ord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(n)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n</w:t>
      </w:r>
      <w:r>
        <w:br/>
      </w:r>
      <w:r>
        <w:rPr>
          <w:rStyle w:val="NormalTok"/>
        </w:rPr>
        <w:t xml:space="preserve">ecdf_x_padding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br/>
      </w:r>
      <w:r>
        <w:rPr>
          <w:rStyle w:val="NormalTok"/>
        </w:rPr>
        <w:t xml:space="preserve">eqf_y_padding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rPr>
          <w:rStyle w:val="NormalTok"/>
        </w:rPr>
        <w:t xml:space="preserve">x_min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ecdf_x_padding</w:t>
      </w:r>
      <w:r>
        <w:br/>
      </w:r>
      <w:r>
        <w:rPr>
          <w:rStyle w:val="NormalTok"/>
        </w:rPr>
        <w:t xml:space="preserve">x_max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ecdf_x_padding</w:t>
      </w:r>
      <w:r>
        <w:br/>
      </w:r>
      <w:r>
        <w:br/>
      </w:r>
      <w:r>
        <w:rPr>
          <w:rStyle w:val="NormalTok"/>
        </w:rPr>
        <w:t xml:space="preserve">x_left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(x_min, x_ord)</w:t>
      </w:r>
      <w:r>
        <w:br/>
      </w:r>
      <w:r>
        <w:rPr>
          <w:rStyle w:val="NormalTok"/>
        </w:rPr>
        <w:t xml:space="preserve">x_right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(x_ord, x_max)</w:t>
      </w:r>
      <w:r>
        <w:br/>
      </w:r>
      <w:r>
        <w:rPr>
          <w:rStyle w:val="NormalTok"/>
        </w:rPr>
        <w:t xml:space="preserve">f_levels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p_ord)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(x_min, x_max),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1.05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expression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plain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"F"</w:t>
      </w:r>
      <w:r>
        <w:rPr>
          <w:rStyle w:val="NormalTok"/>
        </w:rPr>
        <w:t xml:space="preserve">))(t))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segments</w:t>
      </w:r>
      <w:r>
        <w:rPr>
          <w:rStyle w:val="NormalTok"/>
        </w:rPr>
        <w:t xml:space="preserve">(x_left, f_levels, x_right, f_levels,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(x_ord, f_levels[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(n)],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(x_ord, f_levels[</w:t>
      </w:r>
      <w:r>
        <w:rPr>
          <w:rStyle w:val="FunctionTok"/>
        </w:rPr>
        <w:t xml:space="preserve">seq_len</w:t>
      </w:r>
      <w:r>
        <w:rPr>
          <w:rStyle w:val="NormalTok"/>
        </w:rPr>
        <w:t xml:space="preserve">(n)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q_left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p_ord[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n])</w:t>
      </w:r>
      <w:r>
        <w:br/>
      </w:r>
      <w:r>
        <w:rPr>
          <w:rStyle w:val="NormalTok"/>
        </w:rPr>
        <w:t xml:space="preserve">q_right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p_ord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eqf_y_padding,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(x_ord)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eqf_y_padding),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expression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hat</w:t>
      </w:r>
      <w:r>
        <w:rPr>
          <w:rStyle w:val="NormalTok"/>
        </w:rPr>
        <w:t xml:space="preserve">(Q)(p))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segments</w:t>
      </w:r>
      <w:r>
        <w:rPr>
          <w:rStyle w:val="NormalTok"/>
        </w:rPr>
        <w:t xml:space="preserve">(q_left, x_ord, q_right, x_ord,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(q_left, x_ord,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points</w:t>
      </w:r>
      <w:r>
        <w:rPr>
          <w:rStyle w:val="NormalTok"/>
        </w:rPr>
        <w:t xml:space="preserve">(q_right, x_ord,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</w:t>
      </w:r>
    </w:p>
    <w:bookmarkStart w:id="26" w:name="fig-ecdf-sample-quantile-example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21" w:name="fig-ecdf-sample-quantile-example-1"/>
                <w:p>
                  <w:pPr>
                    <w:pStyle w:val="Compact"/>
                    <w:jc w:val="center"/>
                    <w:jc w:val="left"/>
                  </w:pPr>
                  <w:r>
                    <w:drawing>
                      <wp:inline>
                        <wp:extent cx="2971800" cy="2377440"/>
                        <wp:effectExtent b="0" l="0" r="0" t="0"/>
                        <wp:docPr descr="" title="" id="19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nonparametric-models_files/figure-docx/fig-ecdf-sample-quantile-example-1.png" id="20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left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(a) Empirical CDF horizontal pieces only. Closed circles mark included endpoints. Open circles mark excluded endpoints.</w:t>
                  </w:r>
                </w:p>
                <w:bookmarkEnd w:id="21"/>
              </w:tc>
            </w:tr>
          </w:tbl>
          <w:p/>
        </w:tc>
        <w:tc>
          <w:tcPr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25" w:name="fig-ecdf-sample-quantile-example-2"/>
                <w:p>
                  <w:pPr>
                    <w:pStyle w:val="Compact"/>
                    <w:jc w:val="center"/>
                    <w:jc w:val="left"/>
                  </w:pPr>
                  <w:r>
                    <w:drawing>
                      <wp:inline>
                        <wp:extent cx="2971800" cy="2377440"/>
                        <wp:effectExtent b="0" l="0" r="0" t="0"/>
                        <wp:docPr descr="" title="" id="23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nonparametric-models_files/figure-docx/fig-ecdf-sample-quantile-example-2.png" id="24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left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(b) Sample quantile function horizontal pieces only. Open circles mark excluded left endpoints. Closed circles mark included right endpoints.</w:t>
                  </w:r>
                </w:p>
                <w:bookmarkEnd w:id="25"/>
              </w:tc>
            </w:tr>
          </w:tbl>
          <w:p/>
        </w:tc>
      </w:tr>
    </w:tbl>
    <w:p>
      <w:pPr>
        <w:pStyle w:val="BodyText"/>
      </w:pPr>
      <w:pPr>
        <w:spacing w:before="200"/>
        <w:pStyle w:val="ImageCaption"/>
      </w:pPr>
      <w:r>
        <w:t xml:space="preserve">Figure 1: Relationship between the empirical CDF and sample quantiles for data 4, 1, 7, 3. (Order statistics are 1, 3, 4, 7.)</w:t>
      </w:r>
    </w:p>
    <w:bookmarkEnd w:id="26"/>
    <w:p>
      <w:pPr>
        <w:pStyle w:val="BodyText"/>
      </w:pPr>
      <w:r>
        <w:t xml:space="preserve">Because both functions are step functions,</w:t>
      </w:r>
      <w:r>
        <w:t xml:space="preserve"> </w:t>
      </w:r>
      <w:r>
        <w:t xml:space="preserve">they are not one-to-one.</w:t>
      </w:r>
      <w:r>
        <w:t xml:space="preserve"> </w:t>
      </w:r>
      <w:r>
        <w:t xml:space="preserve">Flat regions in one function map many inputs to the same output,</w:t>
      </w:r>
      <w:r>
        <w:t xml:space="preserve"> </w:t>
      </w:r>
      <w:r>
        <w:t xml:space="preserve">and jump points in one correspond to intervals in the other.</w:t>
      </w:r>
      <w:r>
        <w:t xml:space="preserve"> </w:t>
      </w:r>
      <w:r>
        <w:t xml:space="preserve">So they are generalized inverses rather than exact two-sided inverses.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22" Target="media/rId22.png" /><Relationship Type="http://schemas.openxmlformats.org/officeDocument/2006/relationships/hyperlink" Id="rId14" Target="probability.qmd#def-cdf" TargetMode="External" /><Relationship Type="http://schemas.openxmlformats.org/officeDocument/2006/relationships/hyperlink" Id="rId15" Target="probability.qmd#def-quantile-func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probability.qmd#def-cdf" TargetMode="External" /><Relationship Type="http://schemas.openxmlformats.org/officeDocument/2006/relationships/hyperlink" Id="rId15" Target="probability.qmd#def-quantile-func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Nonparametric Models</dc:title>
  <dc:creator/>
  <cp:keywords/>
  <dcterms:created xsi:type="dcterms:W3CDTF">2026-04-29T23:14:37Z</dcterms:created>
  <dcterms:modified xsi:type="dcterms:W3CDTF">2026-04-29T23:14:37Z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