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Generalized Linear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section is primarily adapted starting from the textbook</w:t>
      </w:r>
      <w:r>
        <w:t xml:space="preserve"> </w:t>
      </w:r>
      <w:r>
        <w:t xml:space="preserve">“An Introduction to Generalized Linear Models”</w:t>
      </w:r>
      <w:r>
        <w:t xml:space="preserve"> </w:t>
      </w:r>
      <w:r>
        <w:t xml:space="preserve">(4th edition, 2018)</w:t>
      </w:r>
      <w:r>
        <w:t xml:space="preserve"> </w:t>
      </w:r>
      <w:r>
        <w:t xml:space="preserve">by Annette J. Dobson and Adrian G. Barnett:</w:t>
      </w:r>
    </w:p>
    <w:p>
      <w:pPr>
        <w:pStyle w:val="BodyText"/>
      </w:pPr>
      <w:hyperlink r:id="rId9">
        <w:r>
          <w:rPr>
            <w:rStyle w:val="Hyperlink"/>
          </w:rPr>
          <w:t xml:space="preserve">https://doi.org/10.1201/9781315182780</w:t>
        </w:r>
      </w:hyperlink>
    </w:p>
    <w:bookmarkStart w:id="11" w:name="the-model-fitting-process"/>
    <w:p>
      <w:pPr>
        <w:pStyle w:val="Heading1"/>
      </w:pPr>
      <w:r>
        <w:t xml:space="preserve">1. The model fitting process</w:t>
      </w:r>
    </w:p>
    <w:p>
      <w:pPr>
        <w:pStyle w:val="FirstParagraph"/>
      </w:pPr>
      <w:r>
        <w:t xml:space="preserve">Dobson and Barnett (2018, sec. 2.1)</w:t>
      </w:r>
      <w:r>
        <w:t xml:space="preserve"> </w:t>
      </w:r>
      <w:r>
        <w:t xml:space="preserve">describes the model fitting process as follows:</w:t>
      </w:r>
    </w:p>
    <w:p>
      <w:pPr>
        <w:pStyle w:val="BlockText"/>
      </w:pPr>
      <w:r>
        <w:t xml:space="preserve">The model fitting process described in this book involves four steps:</w:t>
      </w:r>
    </w:p>
    <w:p>
      <w:pPr>
        <w:pStyle w:val="BlockText"/>
        <w:numPr>
          <w:ilvl w:val="0"/>
          <w:numId w:val="1001"/>
        </w:numPr>
      </w:pPr>
      <w:r>
        <w:t xml:space="preserve">Model specification—a model is specified in two parts:</w:t>
      </w:r>
      <w:r>
        <w:t xml:space="preserve"> </w:t>
      </w:r>
      <w:r>
        <w:t xml:space="preserve">an equation linking the response and explanatory variables</w:t>
      </w:r>
      <w:r>
        <w:t xml:space="preserve"> </w:t>
      </w:r>
      <w:r>
        <w:t xml:space="preserve">and the probability distribution of the response variable.</w:t>
      </w:r>
    </w:p>
    <w:p>
      <w:pPr>
        <w:pStyle w:val="BlockText"/>
        <w:numPr>
          <w:ilvl w:val="0"/>
          <w:numId w:val="1001"/>
        </w:numPr>
      </w:pPr>
      <w:r>
        <w:t xml:space="preserve">Estimation of the parameters of the model.</w:t>
      </w:r>
    </w:p>
    <w:p>
      <w:pPr>
        <w:pStyle w:val="BlockText"/>
        <w:numPr>
          <w:ilvl w:val="0"/>
          <w:numId w:val="1001"/>
        </w:numPr>
      </w:pPr>
      <w:r>
        <w:t xml:space="preserve">Checking the adequacy of the model—how well it fits or summarizes the data.</w:t>
      </w:r>
    </w:p>
    <w:p>
      <w:pPr>
        <w:pStyle w:val="BlockText"/>
        <w:numPr>
          <w:ilvl w:val="0"/>
          <w:numId w:val="1001"/>
        </w:numPr>
      </w:pPr>
      <w:r>
        <w:t xml:space="preserve">Inference—for classical or frequentist inference</w:t>
      </w:r>
      <w:r>
        <w:t xml:space="preserve"> </w:t>
      </w:r>
      <w:r>
        <w:t xml:space="preserve">this involves calculating confidence intervals,</w:t>
      </w:r>
      <w:r>
        <w:t xml:space="preserve"> </w:t>
      </w:r>
      <w:r>
        <w:t xml:space="preserve">testing hypotheses about the parameters in the model</w:t>
      </w:r>
      <w:r>
        <w:t xml:space="preserve"> </w:t>
      </w:r>
      <w:r>
        <w:t xml:space="preserve">and interpreting the results.</w:t>
      </w:r>
    </w:p>
    <w:p>
      <w:pPr>
        <w:pStyle w:val="FirstParagraph"/>
      </w:pPr>
      <w:r>
        <w:t xml:space="preserve">Note that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omits exploratory data analysis (EDA) from this initial list,</w:t>
      </w:r>
      <w:r>
        <w:t xml:space="preserve"> </w:t>
      </w:r>
      <w:r>
        <w:t xml:space="preserve">but describes it later as an important preliminary step (</w:t>
      </w:r>
      <w:r>
        <w:t xml:space="preserve">Dobson and Barnett (2018, sec. 2.3.1)</w:t>
      </w:r>
      <w:r>
        <w:t xml:space="preserve">).</w:t>
      </w:r>
      <w:r>
        <w:t xml:space="preserve"> </w:t>
      </w:r>
      <w:r>
        <w:t xml:space="preserve">We will treat EDA as a</w:t>
      </w:r>
      <w:r>
        <w:t xml:space="preserve"> </w:t>
      </w:r>
      <w:r>
        <w:t xml:space="preserve">“step 0”</w:t>
      </w:r>
      <w:r>
        <w:t xml:space="preserve"> </w:t>
      </w:r>
      <w:r>
        <w:t xml:space="preserve">that precedes the four steps above.</w:t>
      </w:r>
    </w:p>
    <w:bookmarkStart w:id="10" w:name="step-0-exploratory-data-analysis"/>
    <w:p>
      <w:pPr>
        <w:pStyle w:val="Heading2"/>
      </w:pPr>
      <w:r>
        <w:t xml:space="preserve">1.1 Step 0: Exploratory data analysis</w:t>
      </w:r>
    </w:p>
    <w:p>
      <w:pPr>
        <w:pStyle w:val="FirstParagraph"/>
      </w:pPr>
      <w:r>
        <w:t xml:space="preserve">Dobson and Barnett (2018, sec. 2.3.1)</w:t>
      </w:r>
      <w:r>
        <w:t xml:space="preserve">:</w:t>
      </w:r>
    </w:p>
    <w:p>
      <w:pPr>
        <w:pStyle w:val="BlockText"/>
      </w:pPr>
      <w:r>
        <w:t xml:space="preserve">Any analysis of data should begin with a consideration of each variable</w:t>
      </w:r>
      <w:r>
        <w:t xml:space="preserve"> </w:t>
      </w:r>
      <w:r>
        <w:t xml:space="preserve">separately,</w:t>
      </w:r>
      <w:r>
        <w:t xml:space="preserve"> </w:t>
      </w:r>
      <w:r>
        <w:t xml:space="preserve">both to check on data quality</w:t>
      </w:r>
      <w:r>
        <w:t xml:space="preserve"> </w:t>
      </w:r>
      <w:r>
        <w:t xml:space="preserve">(for example, are the values plausible?)</w:t>
      </w:r>
      <w:r>
        <w:t xml:space="preserve"> </w:t>
      </w:r>
      <w:r>
        <w:t xml:space="preserve">and to help with model formulation.</w:t>
      </w:r>
    </w:p>
    <w:p>
      <w:pPr>
        <w:pStyle w:val="BlockText"/>
        <w:numPr>
          <w:ilvl w:val="0"/>
          <w:numId w:val="1002"/>
        </w:numPr>
      </w:pPr>
      <w:r>
        <w:t xml:space="preserve">What is the scale of measurement?</w:t>
      </w:r>
      <w:r>
        <w:t xml:space="preserve"> </w:t>
      </w:r>
      <w:r>
        <w:t xml:space="preserve">Is it continuous or categorical?</w:t>
      </w:r>
      <w:r>
        <w:t xml:space="preserve"> </w:t>
      </w:r>
      <w:r>
        <w:t xml:space="preserve">If it is categorical,</w:t>
      </w:r>
      <w:r>
        <w:t xml:space="preserve"> </w:t>
      </w:r>
      <w:r>
        <w:t xml:space="preserve">how many categories does it have</w:t>
      </w:r>
      <w:r>
        <w:t xml:space="preserve"> </w:t>
      </w:r>
      <w:r>
        <w:t xml:space="preserve">and are they nominal or ordinal?</w:t>
      </w:r>
    </w:p>
    <w:p>
      <w:pPr>
        <w:pStyle w:val="BlockText"/>
        <w:numPr>
          <w:ilvl w:val="0"/>
          <w:numId w:val="1002"/>
        </w:numPr>
      </w:pPr>
      <w:r>
        <w:t xml:space="preserve">What is the shape of the distribution?</w:t>
      </w:r>
      <w:r>
        <w:t xml:space="preserve"> </w:t>
      </w:r>
      <w:r>
        <w:t xml:space="preserve">This can be examined using frequency tables,</w:t>
      </w:r>
      <w:r>
        <w:t xml:space="preserve"> </w:t>
      </w:r>
      <w:r>
        <w:t xml:space="preserve">dot plots,</w:t>
      </w:r>
      <w:r>
        <w:t xml:space="preserve"> </w:t>
      </w:r>
      <w:r>
        <w:t xml:space="preserve">histograms</w:t>
      </w:r>
      <w:r>
        <w:t xml:space="preserve"> </w:t>
      </w:r>
      <w:r>
        <w:t xml:space="preserve">and other graphical methods.</w:t>
      </w:r>
    </w:p>
    <w:p>
      <w:pPr>
        <w:pStyle w:val="BlockText"/>
        <w:numPr>
          <w:ilvl w:val="0"/>
          <w:numId w:val="1002"/>
        </w:numPr>
      </w:pPr>
      <w:r>
        <w:t xml:space="preserve">How is it associated with other variables?</w:t>
      </w:r>
      <w:r>
        <w:t xml:space="preserve"> </w:t>
      </w:r>
      <w:r>
        <w:t xml:space="preserve">Cross tabulations for categorical variables,</w:t>
      </w:r>
      <w:r>
        <w:t xml:space="preserve"> </w:t>
      </w:r>
      <w:r>
        <w:t xml:space="preserve">scatter plots for continuous variables,</w:t>
      </w:r>
      <w:r>
        <w:t xml:space="preserve"> </w:t>
      </w:r>
      <w:r>
        <w:t xml:space="preserve">side-by-side boxplots for continuous scale measurements</w:t>
      </w:r>
      <w:r>
        <w:t xml:space="preserve"> </w:t>
      </w:r>
      <w:r>
        <w:t xml:space="preserve">grouped according to the factor levels of a categorical variable,</w:t>
      </w:r>
      <w:r>
        <w:t xml:space="preserve"> </w:t>
      </w:r>
      <w:r>
        <w:t xml:space="preserve">and other such summaries can help to identify patterns of association.</w:t>
      </w:r>
      <w:r>
        <w:t xml:space="preserve"> </w:t>
      </w:r>
      <w:r>
        <w:t xml:space="preserve">For example, do the points on a scatter plot suggest</w:t>
      </w:r>
      <w:r>
        <w:t xml:space="preserve"> </w:t>
      </w:r>
      <w:r>
        <w:t xml:space="preserve">linear or non-linear associations?</w:t>
      </w:r>
      <w:r>
        <w:t xml:space="preserve"> </w:t>
      </w:r>
      <w:r>
        <w:t xml:space="preserve">Do the group means increase or decrease consistently</w:t>
      </w:r>
      <w:r>
        <w:t xml:space="preserve"> </w:t>
      </w:r>
      <w:r>
        <w:t xml:space="preserve">with an ordinal variable defining the groups?</w:t>
      </w:r>
    </w:p>
    <w:bookmarkEnd w:id="10"/>
    <w:bookmarkEnd w:id="11"/>
    <w:bookmarkStart w:id="12" w:name="choosing-a-model"/>
    <w:p>
      <w:pPr>
        <w:pStyle w:val="Heading1"/>
      </w:pPr>
      <w:r>
        <w:t xml:space="preserve">2. Choosing a model</w:t>
      </w:r>
    </w:p>
    <w:p>
      <w:pPr>
        <w:pStyle w:val="FirstParagraph"/>
      </w:pPr>
      <w:r>
        <w:t xml:space="preserve">The type of predictive model one uses depends on several issues; one is the type of response.</w:t>
      </w:r>
    </w:p>
    <w:p>
      <w:pPr>
        <w:numPr>
          <w:ilvl w:val="0"/>
          <w:numId w:val="1003"/>
        </w:numPr>
      </w:pPr>
      <w:r>
        <w:t xml:space="preserve">Measured values such as quantity of a protein, age, weight usually can be handled in an ordinary linear regression model, possibly after a log transformation.</w:t>
      </w:r>
    </w:p>
    <w:p>
      <w:pPr>
        <w:numPr>
          <w:ilvl w:val="0"/>
          <w:numId w:val="1003"/>
        </w:numPr>
      </w:pPr>
      <w:r>
        <w:t xml:space="preserve">Patient survival, which may be censored, calls for a different method (survival analysis, Cox regression).</w:t>
      </w:r>
    </w:p>
    <w:p>
      <w:pPr>
        <w:numPr>
          <w:ilvl w:val="0"/>
          <w:numId w:val="1003"/>
        </w:numPr>
      </w:pPr>
      <w:r>
        <w:t xml:space="preserve">If the response is binary, then can we use logistic regression models</w:t>
      </w:r>
    </w:p>
    <w:p>
      <w:pPr>
        <w:numPr>
          <w:ilvl w:val="0"/>
          <w:numId w:val="1003"/>
        </w:numPr>
      </w:pPr>
      <w:r>
        <w:t xml:space="preserve">If the response is a count, we can use Poisson regression</w:t>
      </w:r>
    </w:p>
    <w:p>
      <w:pPr>
        <w:numPr>
          <w:ilvl w:val="0"/>
          <w:numId w:val="1003"/>
        </w:numPr>
      </w:pPr>
      <w:r>
        <w:t xml:space="preserve">If the count has a higher variance than is consistent with the Poisson, we can use a negative binomial or over-dispersed Poisson</w:t>
      </w:r>
    </w:p>
    <w:p>
      <w:pPr>
        <w:numPr>
          <w:ilvl w:val="0"/>
          <w:numId w:val="1003"/>
        </w:numPr>
      </w:pPr>
      <w:r>
        <w:t xml:space="preserve">Other forms of response can generate other types of generalized linear models</w:t>
      </w:r>
    </w:p>
    <w:p>
      <w:pPr>
        <w:pStyle w:val="FirstParagraph"/>
      </w:pPr>
      <w:r>
        <w:t xml:space="preserve">We need a linear predictor of the same form as in linear regression</w:t>
      </w:r>
      <w:r>
        <w:t xml:space="preserve"> </w:t>
      </w:r>
      <m:oMath>
        <m:r>
          <m:t>β</m:t>
        </m:r>
        <m:r>
          <m:t>x</m:t>
        </m:r>
      </m:oMath>
      <w:r>
        <w:t xml:space="preserve">. In theory, such a linear predictor can generate any type of number as a prediction, positive, negative, or zero</w:t>
      </w:r>
    </w:p>
    <w:p>
      <w:pPr>
        <w:pStyle w:val="BodyText"/>
      </w:pPr>
      <w:r>
        <w:t xml:space="preserve">We choose a suitable distribution for the type of data we are predicting</w:t>
      </w:r>
      <w:r>
        <w:t xml:space="preserve"> </w:t>
      </w:r>
      <w:r>
        <w:t xml:space="preserve">(normal for any number, gamma for positive numbers, binomial for binary responses, Poisson for counts)</w:t>
      </w:r>
    </w:p>
    <w:p>
      <w:pPr>
        <w:pStyle w:val="BodyText"/>
      </w:pPr>
      <w:r>
        <w:t xml:space="preserve">We create a link function</w:t>
      </w:r>
      <w:r>
        <w:t xml:space="preserve"> </w:t>
      </w:r>
      <w:r>
        <w:t xml:space="preserve">which maps the mean of the distribution</w:t>
      </w:r>
      <w:r>
        <w:t xml:space="preserve"> </w:t>
      </w:r>
      <w:r>
        <w:t xml:space="preserve">onto the set of all possible linear prediction results,</w:t>
      </w:r>
      <w:r>
        <w:t xml:space="preserve"> </w:t>
      </w:r>
      <w:r>
        <w:t xml:space="preserve">which is the whole real line (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∞</m:t>
        </m:r>
      </m:oMath>
      <w:r>
        <w:t xml:space="preserve">).</w:t>
      </w:r>
      <w:r>
        <w:t xml:space="preserve"> </w:t>
      </w:r>
      <w:r>
        <w:t xml:space="preserve">The inverse of the link function takes the linear predictor to the actual prediction.</w:t>
      </w:r>
    </w:p>
    <w:p>
      <w:pPr>
        <w:numPr>
          <w:ilvl w:val="0"/>
          <w:numId w:val="1004"/>
        </w:numPr>
      </w:pPr>
      <w:r>
        <w:t xml:space="preserve">Ordinary linear regression has identity link (no transformation by the link function) and uses the normal distribution</w:t>
      </w:r>
    </w:p>
    <w:p>
      <w:pPr>
        <w:numPr>
          <w:ilvl w:val="0"/>
          <w:numId w:val="1004"/>
        </w:numPr>
      </w:pPr>
      <w:r>
        <w:t xml:space="preserve">If one is predicting an inherently positive quantity, one may want to use the log link since ex is always positive.</w:t>
      </w:r>
    </w:p>
    <w:p>
      <w:pPr>
        <w:numPr>
          <w:ilvl w:val="0"/>
          <w:numId w:val="1004"/>
        </w:numPr>
      </w:pPr>
      <w:r>
        <w:t xml:space="preserve">An alternative to using a generalized linear model with a log link, is to transform the data using the log. This is a device that works well with measurement data and may be usable in other cases, but it cannot be used for 0/1 data or for count data that may be 0.</w:t>
      </w:r>
    </w:p>
    <w:p>
      <w:pPr>
        <w:pStyle w:val="TableCaption"/>
      </w:pPr>
      <w:r>
        <w:t xml:space="preserve">R glm() Families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R glm() Families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Family</w:t>
            </w:r>
          </w:p>
        </w:tc>
        <w:tc>
          <w:tcPr/>
          <w:p>
            <w:pPr>
              <w:pStyle w:val="Compact"/>
            </w:pPr>
            <w:r>
              <w:t xml:space="preserve">Links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gaussian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identity</w:t>
            </w:r>
            <w:r>
              <w:t xml:space="preserve">, log, inverse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binomial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logit</w:t>
            </w:r>
            <w:r>
              <w:t xml:space="preserve">, probit, cauchit, log, cloglog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gamma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inverse</w:t>
            </w:r>
            <w:r>
              <w:t xml:space="preserve">, identity, 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inverse.gaussian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1/mu^2</w:t>
            </w:r>
            <w:r>
              <w:t xml:space="preserve">, inverse, identity, 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Poisson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</w:t>
            </w:r>
            <w:r>
              <w:t xml:space="preserve">, identity, sqrt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quasi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identity</w:t>
            </w:r>
            <w:r>
              <w:t xml:space="preserve">, logit, probit, cloglog, inverse, log, 1/mu^2 and sqrt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quasibinomial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logit</w:t>
            </w:r>
            <w:r>
              <w:t xml:space="preserve">, probit, identity, cloglog, inverse, log, 1/mu^2 and sqrt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quasipoisson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</w:t>
            </w:r>
            <w:r>
              <w:t xml:space="preserve">, identity, logit, probit, cloglog, inverse, 1/mu^2 and sqrt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R</w:t>
      </w:r>
      <w:r>
        <w:t xml:space="preserve"> </w:t>
      </w:r>
      <w:r>
        <w:rPr>
          <w:rStyle w:val="VerbatimChar"/>
        </w:rPr>
        <w:t xml:space="preserve">glm()</w:t>
      </w:r>
      <w:r>
        <w:t xml:space="preserve"> </w:t>
      </w:r>
      <w:r>
        <w:t xml:space="preserve">Link Functions;</w:t>
      </w:r>
      <w:r>
        <w:t xml:space="preserve"> </w:t>
      </w:r>
      <m:oMath>
        <m:r>
          <m:t>η</m:t>
        </m:r>
        <m:r>
          <m:rPr>
            <m:sty m:val="p"/>
          </m:rPr>
          <m:t>=</m:t>
        </m:r>
        <m:r>
          <m:t>X</m:t>
        </m:r>
        <m:r>
          <m:t>β</m:t>
        </m:r>
        <m:r>
          <m:rPr>
            <m:sty m:val="p"/>
          </m:rPr>
          <m:t>=</m:t>
        </m:r>
        <m:r>
          <m:t>g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)</m:t>
        </m:r>
      </m:oMath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R glm() Link Functions; \eta = X\beta = g(\mu)"/>
      </w:tblPr>
      <w:tblGrid>
        <w:gridCol w:w="672"/>
        <w:gridCol w:w="1419"/>
        <w:gridCol w:w="1419"/>
        <w:gridCol w:w="2017"/>
        <w:gridCol w:w="23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Range</w:t>
            </w:r>
          </w:p>
        </w:tc>
        <w:tc>
          <w:tcPr/>
          <w:p>
            <w:pPr>
              <w:pStyle w:val="Compact"/>
            </w:pPr>
            <w:r>
              <w:t xml:space="preserve">Link Function</w:t>
            </w:r>
          </w:p>
        </w:tc>
        <w:tc>
          <w:tcPr/>
          <w:p>
            <w:pPr>
              <w:pStyle w:val="Compact"/>
            </w:pPr>
            <w:r>
              <w:t xml:space="preserve">Inverse Link Function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identity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  <w:r>
              <w:t xml:space="preserve">.</w:t>
            </w:r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η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log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μ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</w:pPr>
            <w:r>
              <w:t xml:space="preserve">inverse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μ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η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logit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μ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rPr>
                  <m:sty m:val="p"/>
                </m:rPr>
                <m:t>)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probit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sty m:val="p"/>
                    </m:rPr>
                    <m:t>Φ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t>η</m:t>
              </m:r>
              <m:r>
                <m:rPr>
                  <m:sty m:val="p"/>
                </m:rPr>
                <m:t>)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cloglog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μ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</m:e>
                  </m:d>
                </m:e>
              </m:d>
            </m:oMath>
          </w:p>
        </w:tc>
      </w:tr>
      <w:tr>
        <w:tc>
          <w:tcPr/>
          <w:p>
            <w:pPr>
              <w:pStyle w:val="Compact"/>
            </w:pPr>
            <w:r>
              <w:t xml:space="preserve">1/mu^2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sSup>
                <m:e>
                  <m:r>
                    <m:t>μ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ad>
                <m:radPr>
                  <m:degHide m:val="on"/>
                </m:radPr>
                <m:deg/>
                <m:e>
                  <m:r>
                    <m:t>η</m:t>
                  </m:r>
                </m:e>
              </m:rad>
            </m:oMath>
          </w:p>
        </w:tc>
      </w:tr>
      <w:tr>
        <w:tc>
          <w:tcPr/>
          <w:p>
            <w:pPr>
              <w:pStyle w:val="Compact"/>
            </w:pPr>
            <w:r>
              <w:t xml:space="preserve">sqrt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r>
                    <m:t>μ</m:t>
                  </m:r>
                </m:e>
              </m:rad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</w:tbl>
    <w:bookmarkEnd w:id="12"/>
    <w:bookmarkStart w:id="15" w:name="references"/>
    <w:p>
      <w:pPr>
        <w:pStyle w:val="Heading1"/>
      </w:pPr>
      <w:r>
        <w:t xml:space="preserve">References</w:t>
      </w:r>
    </w:p>
    <w:bookmarkStart w:id="14" w:name="refs"/>
    <w:bookmarkStart w:id="13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9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doi.org/10.1201/97813151827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doi.org/10.1201/97813151827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Linear Models</dc:title>
  <dc:creator/>
  <cp:keywords/>
  <dcterms:created xsi:type="dcterms:W3CDTF">2026-04-29T22:49:35Z</dcterms:created>
  <dcterms:modified xsi:type="dcterms:W3CDTF">2026-04-29T22:49:35Z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