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Classification</w:t>
      </w:r>
    </w:p>
    <w:sdt>
      <w:sdtPr>
        <w:docPartObj>
          <w:docPartGallery w:val="Table of Contents"/>
          <w:docPartUnique/>
        </w:docPartObj>
      </w:sdtPr>
      <w:sdtContent>
        <w:p>
          <w:pPr>
            <w:pStyle w:val="TOCHeading"/>
          </w:pPr>
          <w:r>
            <w:t xml:space="preserve">Table of contents</w:t>
          </w:r>
        </w:p>
        <w:p>
          <w:r>
            <w:fldChar w:fldCharType="begin" w:dirty="true"/>
            <w:instrText xml:space="preserve">TOC \o "1-3" \h \z \u</w:instrText>
            <w:fldChar w:fldCharType="separate"/>
            <w:fldChar w:fldCharType="end"/>
          </w:r>
        </w:p>
      </w:sdtContent>
    </w:sdt>
    <w:p>
      <w:r>
        <w:pict>
          <v:rect style="width:0;height:1.5pt" o:hralign="center" o:hrstd="t" o:hr="t"/>
        </w:pict>
      </w:r>
    </w:p>
    <w:bookmarkStart w:id="10" w:name="configuring-r"/>
    <w:p>
      <w:pPr>
        <w:pStyle w:val="Heading3"/>
      </w:pPr>
      <w:r>
        <w:t xml:space="preserve">Configuring R</w:t>
      </w:r>
    </w:p>
    <w:p>
      <w:pPr>
        <w:pStyle w:val="FirstParagraph"/>
      </w:pPr>
      <w:r>
        <w:t xml:space="preserve">Functions from these packages will be used throughout this document:</w:t>
      </w:r>
    </w:p>
    <w:p>
      <w:pPr>
        <w:pStyle w:val="SourceCode"/>
      </w:pPr>
      <w:r>
        <w:rPr>
          <w:rStyle w:val="FunctionTok"/>
        </w:rPr>
        <w:t xml:space="preserve">library</w:t>
      </w:r>
      <w:r>
        <w:rPr>
          <w:rStyle w:val="NormalTok"/>
        </w:rPr>
        <w:t xml:space="preserve">(conflicted) </w:t>
      </w:r>
      <w:r>
        <w:rPr>
          <w:rStyle w:val="CommentTok"/>
        </w:rPr>
        <w:t xml:space="preserve"># check for conflicting function definitions</w:t>
      </w:r>
      <w:r>
        <w:br/>
      </w:r>
      <w:r>
        <w:rPr>
          <w:rStyle w:val="CommentTok"/>
        </w:rPr>
        <w:t xml:space="preserve"># library(printr) # inserts help-file output into markdown output</w:t>
      </w:r>
      <w:r>
        <w:br/>
      </w:r>
      <w:r>
        <w:rPr>
          <w:rStyle w:val="FunctionTok"/>
        </w:rPr>
        <w:t xml:space="preserve">library</w:t>
      </w:r>
      <w:r>
        <w:rPr>
          <w:rStyle w:val="NormalTok"/>
        </w:rPr>
        <w:t xml:space="preserve">(rmarkdown) </w:t>
      </w:r>
      <w:r>
        <w:rPr>
          <w:rStyle w:val="CommentTok"/>
        </w:rPr>
        <w:t xml:space="preserve"># Convert R Markdown documents into a variety of formats.</w:t>
      </w:r>
      <w:r>
        <w:br/>
      </w:r>
      <w:r>
        <w:rPr>
          <w:rStyle w:val="FunctionTok"/>
        </w:rPr>
        <w:t xml:space="preserve">library</w:t>
      </w:r>
      <w:r>
        <w:rPr>
          <w:rStyle w:val="NormalTok"/>
        </w:rPr>
        <w:t xml:space="preserve">(pander) </w:t>
      </w:r>
      <w:r>
        <w:rPr>
          <w:rStyle w:val="CommentTok"/>
        </w:rPr>
        <w:t xml:space="preserve"># format tables for markdown</w:t>
      </w:r>
      <w:r>
        <w:br/>
      </w:r>
      <w:r>
        <w:rPr>
          <w:rStyle w:val="FunctionTok"/>
        </w:rPr>
        <w:t xml:space="preserve">library</w:t>
      </w:r>
      <w:r>
        <w:rPr>
          <w:rStyle w:val="NormalTok"/>
        </w:rPr>
        <w:t xml:space="preserve">(ggplot2) </w:t>
      </w:r>
      <w:r>
        <w:rPr>
          <w:rStyle w:val="CommentTok"/>
        </w:rPr>
        <w:t xml:space="preserve"># graphics</w:t>
      </w:r>
      <w:r>
        <w:br/>
      </w:r>
      <w:r>
        <w:rPr>
          <w:rStyle w:val="FunctionTok"/>
        </w:rPr>
        <w:t xml:space="preserve">library</w:t>
      </w:r>
      <w:r>
        <w:rPr>
          <w:rStyle w:val="NormalTok"/>
        </w:rPr>
        <w:t xml:space="preserve">(ggfortify) </w:t>
      </w:r>
      <w:r>
        <w:rPr>
          <w:rStyle w:val="CommentTok"/>
        </w:rPr>
        <w:t xml:space="preserve"># help with graphics</w:t>
      </w:r>
      <w:r>
        <w:br/>
      </w:r>
      <w:r>
        <w:rPr>
          <w:rStyle w:val="FunctionTok"/>
        </w:rPr>
        <w:t xml:space="preserve">library</w:t>
      </w:r>
      <w:r>
        <w:rPr>
          <w:rStyle w:val="NormalTok"/>
        </w:rPr>
        <w:t xml:space="preserve">(dplyr) </w:t>
      </w:r>
      <w:r>
        <w:rPr>
          <w:rStyle w:val="CommentTok"/>
        </w:rPr>
        <w:t xml:space="preserve"># manipulate data</w:t>
      </w:r>
      <w:r>
        <w:br/>
      </w:r>
      <w:r>
        <w:rPr>
          <w:rStyle w:val="FunctionTok"/>
        </w:rPr>
        <w:t xml:space="preserve">library</w:t>
      </w:r>
      <w:r>
        <w:rPr>
          <w:rStyle w:val="NormalTok"/>
        </w:rPr>
        <w:t xml:space="preserve">(tibble) </w:t>
      </w:r>
      <w:r>
        <w:rPr>
          <w:rStyle w:val="CommentTok"/>
        </w:rPr>
        <w:t xml:space="preserve"># `tibble`s extend `data.frame`s</w:t>
      </w:r>
      <w:r>
        <w:br/>
      </w:r>
      <w:r>
        <w:rPr>
          <w:rStyle w:val="FunctionTok"/>
        </w:rPr>
        <w:t xml:space="preserve">library</w:t>
      </w:r>
      <w:r>
        <w:rPr>
          <w:rStyle w:val="NormalTok"/>
        </w:rPr>
        <w:t xml:space="preserve">(magrittr) </w:t>
      </w:r>
      <w:r>
        <w:rPr>
          <w:rStyle w:val="CommentTok"/>
        </w:rPr>
        <w:t xml:space="preserve"># `%&gt;%` and other additional piping tools</w:t>
      </w:r>
      <w:r>
        <w:br/>
      </w:r>
      <w:r>
        <w:rPr>
          <w:rStyle w:val="FunctionTok"/>
        </w:rPr>
        <w:t xml:space="preserve">library</w:t>
      </w:r>
      <w:r>
        <w:rPr>
          <w:rStyle w:val="NormalTok"/>
        </w:rPr>
        <w:t xml:space="preserve">(haven) </w:t>
      </w:r>
      <w:r>
        <w:rPr>
          <w:rStyle w:val="CommentTok"/>
        </w:rPr>
        <w:t xml:space="preserve"># import Stata files</w:t>
      </w:r>
      <w:r>
        <w:br/>
      </w:r>
      <w:r>
        <w:rPr>
          <w:rStyle w:val="FunctionTok"/>
        </w:rPr>
        <w:t xml:space="preserve">library</w:t>
      </w:r>
      <w:r>
        <w:rPr>
          <w:rStyle w:val="NormalTok"/>
        </w:rPr>
        <w:t xml:space="preserve">(knitr) </w:t>
      </w:r>
      <w:r>
        <w:rPr>
          <w:rStyle w:val="CommentTok"/>
        </w:rPr>
        <w:t xml:space="preserve"># format R output for markdown</w:t>
      </w:r>
      <w:r>
        <w:br/>
      </w:r>
      <w:r>
        <w:rPr>
          <w:rStyle w:val="FunctionTok"/>
        </w:rPr>
        <w:t xml:space="preserve">library</w:t>
      </w:r>
      <w:r>
        <w:rPr>
          <w:rStyle w:val="NormalTok"/>
        </w:rPr>
        <w:t xml:space="preserve">(tidyr) </w:t>
      </w:r>
      <w:r>
        <w:rPr>
          <w:rStyle w:val="CommentTok"/>
        </w:rPr>
        <w:t xml:space="preserve"># Tools to help to create tidy data</w:t>
      </w:r>
      <w:r>
        <w:br/>
      </w:r>
      <w:r>
        <w:rPr>
          <w:rStyle w:val="FunctionTok"/>
        </w:rPr>
        <w:t xml:space="preserve">library</w:t>
      </w:r>
      <w:r>
        <w:rPr>
          <w:rStyle w:val="NormalTok"/>
        </w:rPr>
        <w:t xml:space="preserve">(plotly) </w:t>
      </w:r>
      <w:r>
        <w:rPr>
          <w:rStyle w:val="CommentTok"/>
        </w:rPr>
        <w:t xml:space="preserve"># interactive graphics</w:t>
      </w:r>
      <w:r>
        <w:br/>
      </w:r>
      <w:r>
        <w:rPr>
          <w:rStyle w:val="FunctionTok"/>
        </w:rPr>
        <w:t xml:space="preserve">library</w:t>
      </w:r>
      <w:r>
        <w:rPr>
          <w:rStyle w:val="NormalTok"/>
        </w:rPr>
        <w:t xml:space="preserve">(dobson) </w:t>
      </w:r>
      <w:r>
        <w:rPr>
          <w:rStyle w:val="CommentTok"/>
        </w:rPr>
        <w:t xml:space="preserve"># datasets from Dobson and Barnett 2018</w:t>
      </w:r>
      <w:r>
        <w:br/>
      </w:r>
      <w:r>
        <w:rPr>
          <w:rStyle w:val="FunctionTok"/>
        </w:rPr>
        <w:t xml:space="preserve">library</w:t>
      </w:r>
      <w:r>
        <w:rPr>
          <w:rStyle w:val="NormalTok"/>
        </w:rPr>
        <w:t xml:space="preserve">(parameters) </w:t>
      </w:r>
      <w:r>
        <w:rPr>
          <w:rStyle w:val="CommentTok"/>
        </w:rPr>
        <w:t xml:space="preserve"># format model output tables for markdown</w:t>
      </w:r>
      <w:r>
        <w:br/>
      </w:r>
      <w:r>
        <w:rPr>
          <w:rStyle w:val="FunctionTok"/>
        </w:rPr>
        <w:t xml:space="preserve">library</w:t>
      </w:r>
      <w:r>
        <w:rPr>
          <w:rStyle w:val="NormalTok"/>
        </w:rPr>
        <w:t xml:space="preserve">(haven) </w:t>
      </w:r>
      <w:r>
        <w:rPr>
          <w:rStyle w:val="CommentTok"/>
        </w:rPr>
        <w:t xml:space="preserve"># import Stata files</w:t>
      </w:r>
      <w:r>
        <w:br/>
      </w:r>
      <w:r>
        <w:rPr>
          <w:rStyle w:val="FunctionTok"/>
        </w:rPr>
        <w:t xml:space="preserve">library</w:t>
      </w:r>
      <w:r>
        <w:rPr>
          <w:rStyle w:val="NormalTok"/>
        </w:rPr>
        <w:t xml:space="preserve">(latex2exp) </w:t>
      </w:r>
      <w:r>
        <w:rPr>
          <w:rStyle w:val="CommentTok"/>
        </w:rPr>
        <w:t xml:space="preserve"># use LaTeX in R code (for figures and tables)</w:t>
      </w:r>
      <w:r>
        <w:br/>
      </w:r>
      <w:r>
        <w:rPr>
          <w:rStyle w:val="FunctionTok"/>
        </w:rPr>
        <w:t xml:space="preserve">library</w:t>
      </w:r>
      <w:r>
        <w:rPr>
          <w:rStyle w:val="NormalTok"/>
        </w:rPr>
        <w:t xml:space="preserve">(fs) </w:t>
      </w:r>
      <w:r>
        <w:rPr>
          <w:rStyle w:val="CommentTok"/>
        </w:rPr>
        <w:t xml:space="preserve"># filesystem path manipulations</w:t>
      </w:r>
      <w:r>
        <w:br/>
      </w:r>
      <w:r>
        <w:rPr>
          <w:rStyle w:val="FunctionTok"/>
        </w:rPr>
        <w:t xml:space="preserve">library</w:t>
      </w:r>
      <w:r>
        <w:rPr>
          <w:rStyle w:val="NormalTok"/>
        </w:rPr>
        <w:t xml:space="preserve">(survival) </w:t>
      </w:r>
      <w:r>
        <w:rPr>
          <w:rStyle w:val="CommentTok"/>
        </w:rPr>
        <w:t xml:space="preserve"># survival analysis</w:t>
      </w:r>
      <w:r>
        <w:br/>
      </w:r>
      <w:r>
        <w:rPr>
          <w:rStyle w:val="FunctionTok"/>
        </w:rPr>
        <w:t xml:space="preserve">library</w:t>
      </w:r>
      <w:r>
        <w:rPr>
          <w:rStyle w:val="NormalTok"/>
        </w:rPr>
        <w:t xml:space="preserve">(survminer) </w:t>
      </w:r>
      <w:r>
        <w:rPr>
          <w:rStyle w:val="CommentTok"/>
        </w:rPr>
        <w:t xml:space="preserve"># survival analysis graphics</w:t>
      </w:r>
      <w:r>
        <w:br/>
      </w:r>
      <w:r>
        <w:rPr>
          <w:rStyle w:val="FunctionTok"/>
        </w:rPr>
        <w:t xml:space="preserve">library</w:t>
      </w:r>
      <w:r>
        <w:rPr>
          <w:rStyle w:val="NormalTok"/>
        </w:rPr>
        <w:t xml:space="preserve">(KMsurv) </w:t>
      </w:r>
      <w:r>
        <w:rPr>
          <w:rStyle w:val="CommentTok"/>
        </w:rPr>
        <w:t xml:space="preserve"># datasets from Klein and Moeschberger</w:t>
      </w:r>
      <w:r>
        <w:br/>
      </w:r>
      <w:r>
        <w:rPr>
          <w:rStyle w:val="FunctionTok"/>
        </w:rPr>
        <w:t xml:space="preserve">library</w:t>
      </w:r>
      <w:r>
        <w:rPr>
          <w:rStyle w:val="NormalTok"/>
        </w:rPr>
        <w:t xml:space="preserve">(parameters) </w:t>
      </w:r>
      <w:r>
        <w:rPr>
          <w:rStyle w:val="CommentTok"/>
        </w:rPr>
        <w:t xml:space="preserve"># format model output tables for</w:t>
      </w:r>
      <w:r>
        <w:br/>
      </w:r>
      <w:r>
        <w:rPr>
          <w:rStyle w:val="FunctionTok"/>
        </w:rPr>
        <w:t xml:space="preserve">library</w:t>
      </w:r>
      <w:r>
        <w:rPr>
          <w:rStyle w:val="NormalTok"/>
        </w:rPr>
        <w:t xml:space="preserve">(webshot2) </w:t>
      </w:r>
      <w:r>
        <w:rPr>
          <w:rStyle w:val="CommentTok"/>
        </w:rPr>
        <w:t xml:space="preserve"># convert interactive content to static for pdf</w:t>
      </w:r>
      <w:r>
        <w:br/>
      </w:r>
      <w:r>
        <w:rPr>
          <w:rStyle w:val="FunctionTok"/>
        </w:rPr>
        <w:t xml:space="preserve">library</w:t>
      </w:r>
      <w:r>
        <w:rPr>
          <w:rStyle w:val="NormalTok"/>
        </w:rPr>
        <w:t xml:space="preserve">(forcats) </w:t>
      </w:r>
      <w:r>
        <w:rPr>
          <w:rStyle w:val="CommentTok"/>
        </w:rPr>
        <w:t xml:space="preserve"># functions for categorical variables ("factors")</w:t>
      </w:r>
      <w:r>
        <w:br/>
      </w:r>
      <w:r>
        <w:rPr>
          <w:rStyle w:val="FunctionTok"/>
        </w:rPr>
        <w:t xml:space="preserve">library</w:t>
      </w:r>
      <w:r>
        <w:rPr>
          <w:rStyle w:val="NormalTok"/>
        </w:rPr>
        <w:t xml:space="preserve">(stringr) </w:t>
      </w:r>
      <w:r>
        <w:rPr>
          <w:rStyle w:val="CommentTok"/>
        </w:rPr>
        <w:t xml:space="preserve"># functions for dealing with strings</w:t>
      </w:r>
      <w:r>
        <w:br/>
      </w:r>
      <w:r>
        <w:rPr>
          <w:rStyle w:val="FunctionTok"/>
        </w:rPr>
        <w:t xml:space="preserve">library</w:t>
      </w:r>
      <w:r>
        <w:rPr>
          <w:rStyle w:val="NormalTok"/>
        </w:rPr>
        <w:t xml:space="preserve">(lubridate) </w:t>
      </w:r>
      <w:r>
        <w:rPr>
          <w:rStyle w:val="CommentTok"/>
        </w:rPr>
        <w:t xml:space="preserve"># functions for dealing with dates and times</w:t>
      </w:r>
      <w:r>
        <w:br/>
      </w:r>
      <w:r>
        <w:rPr>
          <w:rStyle w:val="FunctionTok"/>
        </w:rPr>
        <w:t xml:space="preserve">library</w:t>
      </w:r>
      <w:r>
        <w:rPr>
          <w:rStyle w:val="NormalTok"/>
        </w:rPr>
        <w:t xml:space="preserve">(broom) </w:t>
      </w:r>
      <w:r>
        <w:rPr>
          <w:rStyle w:val="CommentTok"/>
        </w:rPr>
        <w:t xml:space="preserve"># Summarizes key information about statistical objects in tidy tibbles</w:t>
      </w:r>
      <w:r>
        <w:br/>
      </w:r>
      <w:r>
        <w:rPr>
          <w:rStyle w:val="FunctionTok"/>
        </w:rPr>
        <w:t xml:space="preserve">library</w:t>
      </w:r>
      <w:r>
        <w:rPr>
          <w:rStyle w:val="NormalTok"/>
        </w:rPr>
        <w:t xml:space="preserve">(broom.helpers) </w:t>
      </w:r>
      <w:r>
        <w:rPr>
          <w:rStyle w:val="CommentTok"/>
        </w:rPr>
        <w:t xml:space="preserve"># Provides suite of functions to work with regression model 'broom::tidy()' tibbles</w:t>
      </w:r>
    </w:p>
    <w:p>
      <w:pPr>
        <w:pStyle w:val="FirstParagraph"/>
      </w:pPr>
      <w:r>
        <w:t xml:space="preserve">Here are some R settings I use in this document:</w:t>
      </w:r>
    </w:p>
    <w:p>
      <w:pPr>
        <w:pStyle w:val="SourceCode"/>
      </w:pPr>
      <w:r>
        <w:rPr>
          <w:rStyle w:val="FunctionTok"/>
        </w:rPr>
        <w:t xml:space="preserve">rm</w:t>
      </w:r>
      <w:r>
        <w:rPr>
          <w:rStyle w:val="NormalTok"/>
        </w:rPr>
        <w:t xml:space="preserve">(</w:t>
      </w:r>
      <w:r>
        <w:rPr>
          <w:rStyle w:val="AttributeTok"/>
        </w:rPr>
        <w:t xml:space="preserve">list =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ls</w:t>
      </w:r>
      <w:r>
        <w:rPr>
          <w:rStyle w:val="NormalTok"/>
        </w:rPr>
        <w:t xml:space="preserve">()) </w:t>
      </w:r>
      <w:r>
        <w:rPr>
          <w:rStyle w:val="CommentTok"/>
        </w:rPr>
        <w:t xml:space="preserve"># delete any data that's already loaded into R</w:t>
      </w:r>
      <w:r>
        <w:br/>
      </w:r>
      <w:r>
        <w:br/>
      </w:r>
      <w:r>
        <w:rPr>
          <w:rStyle w:val="FunctionTok"/>
        </w:rPr>
        <w:t xml:space="preserve">conflicts_prefer</w:t>
      </w:r>
      <w:r>
        <w:rPr>
          <w:rStyle w:val="NormalTok"/>
        </w:rPr>
        <w:t xml:space="preserve">(dplyr</w:t>
      </w:r>
      <w:r>
        <w:rPr>
          <w:rStyle w:val="SpecialCharTok"/>
        </w:rPr>
        <w:t xml:space="preserve">::</w:t>
      </w:r>
      <w:r>
        <w:rPr>
          <w:rStyle w:val="NormalTok"/>
        </w:rPr>
        <w:t xml:space="preserve">filter)</w:t>
      </w:r>
      <w:r>
        <w:br/>
      </w:r>
      <w:r>
        <w:rPr>
          <w:rStyle w:val="NormalTok"/>
        </w:rPr>
        <w:t xml:space="preserve">ggplot2</w:t>
      </w:r>
      <w:r>
        <w:rPr>
          <w:rStyle w:val="SpecialCharTok"/>
        </w:rPr>
        <w:t xml:space="preserve">::</w:t>
      </w:r>
      <w:r>
        <w:rPr>
          <w:rStyle w:val="FunctionTok"/>
        </w:rPr>
        <w:t xml:space="preserve">theme_set</w:t>
      </w:r>
      <w:r>
        <w:rPr>
          <w:rStyle w:val="NormalTok"/>
        </w:rPr>
        <w:t xml:space="preserve">(</w:t>
      </w:r>
      <w:r>
        <w:br/>
      </w:r>
      <w:r>
        <w:rPr>
          <w:rStyle w:val="NormalTok"/>
        </w:rPr>
        <w:t xml:space="preserve">  ggplot2</w:t>
      </w:r>
      <w:r>
        <w:rPr>
          <w:rStyle w:val="SpecialCharTok"/>
        </w:rPr>
        <w:t xml:space="preserve">::</w:t>
      </w:r>
      <w:r>
        <w:rPr>
          <w:rStyle w:val="FunctionTok"/>
        </w:rPr>
        <w:t xml:space="preserve">theme_bw</w:t>
      </w:r>
      <w:r>
        <w:rPr>
          <w:rStyle w:val="NormalTok"/>
        </w:rPr>
        <w:t xml:space="preserve">() </w:t>
      </w:r>
      <w:r>
        <w:rPr>
          <w:rStyle w:val="SpecialCharTok"/>
        </w:rPr>
        <w:t xml:space="preserve">+</w:t>
      </w:r>
      <w:r>
        <w:rPr>
          <w:rStyle w:val="NormalTok"/>
        </w:rPr>
        <w:t xml:space="preserve"> </w:t>
      </w:r>
      <w:r>
        <w:br/>
      </w:r>
      <w:r>
        <w:rPr>
          <w:rStyle w:val="NormalTok"/>
        </w:rPr>
        <w:t xml:space="preserve">        </w:t>
      </w:r>
      <w:r>
        <w:rPr>
          <w:rStyle w:val="CommentTok"/>
        </w:rPr>
        <w:t xml:space="preserve"># ggplot2::labs(col = "") +</w:t>
      </w:r>
      <w:r>
        <w:br/>
      </w:r>
      <w:r>
        <w:rPr>
          <w:rStyle w:val="NormalTok"/>
        </w:rPr>
        <w:t xml:space="preserve">    ggplot2</w:t>
      </w:r>
      <w:r>
        <w:rPr>
          <w:rStyle w:val="SpecialCharTok"/>
        </w:rPr>
        <w:t xml:space="preserve">::</w:t>
      </w:r>
      <w:r>
        <w:rPr>
          <w:rStyle w:val="FunctionTok"/>
        </w:rPr>
        <w:t xml:space="preserve">theme</w:t>
      </w:r>
      <w:r>
        <w:rPr>
          <w:rStyle w:val="NormalTok"/>
        </w:rPr>
        <w:t xml:space="preserve">(</w:t>
      </w:r>
      <w:r>
        <w:br/>
      </w:r>
      <w:r>
        <w:rPr>
          <w:rStyle w:val="NormalTok"/>
        </w:rPr>
        <w:t xml:space="preserve">      </w:t>
      </w:r>
      <w:r>
        <w:rPr>
          <w:rStyle w:val="AttributeTok"/>
        </w:rPr>
        <w:t xml:space="preserve">legend.position =</w:t>
      </w:r>
      <w:r>
        <w:rPr>
          <w:rStyle w:val="NormalTok"/>
        </w:rPr>
        <w:t xml:space="preserve"> </w:t>
      </w:r>
      <w:r>
        <w:rPr>
          <w:rStyle w:val="StringTok"/>
        </w:rPr>
        <w:t xml:space="preserve">"bottom"</w:t>
      </w:r>
      <w:r>
        <w:rPr>
          <w:rStyle w:val="NormalTok"/>
        </w:rPr>
        <w:t xml:space="preserve">,</w:t>
      </w:r>
      <w:r>
        <w:br/>
      </w:r>
      <w:r>
        <w:rPr>
          <w:rStyle w:val="NormalTok"/>
        </w:rPr>
        <w:t xml:space="preserve">      </w:t>
      </w:r>
      <w:r>
        <w:rPr>
          <w:rStyle w:val="AttributeTok"/>
        </w:rPr>
        <w:t xml:space="preserve">text =</w:t>
      </w:r>
      <w:r>
        <w:rPr>
          <w:rStyle w:val="NormalTok"/>
        </w:rPr>
        <w:t xml:space="preserve"> ggplot2</w:t>
      </w:r>
      <w:r>
        <w:rPr>
          <w:rStyle w:val="SpecialCharTok"/>
        </w:rPr>
        <w:t xml:space="preserve">::</w:t>
      </w:r>
      <w:r>
        <w:rPr>
          <w:rStyle w:val="FunctionTok"/>
        </w:rPr>
        <w:t xml:space="preserve">element_text</w:t>
      </w:r>
      <w:r>
        <w:rPr>
          <w:rStyle w:val="NormalTok"/>
        </w:rPr>
        <w:t xml:space="preserve">(</w:t>
      </w:r>
      <w:r>
        <w:rPr>
          <w:rStyle w:val="AttributeTok"/>
        </w:rPr>
        <w:t xml:space="preserve">size =</w:t>
      </w:r>
      <w:r>
        <w:rPr>
          <w:rStyle w:val="NormalTok"/>
        </w:rPr>
        <w:t xml:space="preserve"> </w:t>
      </w:r>
      <w:r>
        <w:rPr>
          <w:rStyle w:val="DecValTok"/>
        </w:rPr>
        <w:t xml:space="preserve">12</w:t>
      </w:r>
      <w:r>
        <w:rPr>
          <w:rStyle w:val="NormalTok"/>
        </w:rPr>
        <w:t xml:space="preserve">, </w:t>
      </w:r>
      <w:r>
        <w:rPr>
          <w:rStyle w:val="AttributeTok"/>
        </w:rPr>
        <w:t xml:space="preserve">family =</w:t>
      </w:r>
      <w:r>
        <w:rPr>
          <w:rStyle w:val="NormalTok"/>
        </w:rPr>
        <w:t xml:space="preserve"> </w:t>
      </w:r>
      <w:r>
        <w:rPr>
          <w:rStyle w:val="StringTok"/>
        </w:rPr>
        <w:t xml:space="preserve">"serif"</w:t>
      </w:r>
      <w:r>
        <w:rPr>
          <w:rStyle w:val="NormalTok"/>
        </w:rPr>
        <w:t xml:space="preserve">)))</w:t>
      </w:r>
      <w:r>
        <w:br/>
      </w:r>
      <w:r>
        <w:br/>
      </w:r>
      <w:r>
        <w:rPr>
          <w:rStyle w:val="NormalTok"/>
        </w:rPr>
        <w:t xml:space="preserve">knitr</w:t>
      </w:r>
      <w:r>
        <w:rPr>
          <w:rStyle w:val="SpecialCharTok"/>
        </w:rPr>
        <w:t xml:space="preserve">::</w:t>
      </w:r>
      <w:r>
        <w:rPr>
          <w:rStyle w:val="NormalTok"/>
        </w:rPr>
        <w:t xml:space="preserve">opts_chunk</w:t>
      </w:r>
      <w:r>
        <w:rPr>
          <w:rStyle w:val="SpecialCharTok"/>
        </w:rPr>
        <w:t xml:space="preserve">$</w:t>
      </w:r>
      <w:r>
        <w:rPr>
          <w:rStyle w:val="FunctionTok"/>
        </w:rPr>
        <w:t xml:space="preserve">set</w:t>
      </w:r>
      <w:r>
        <w:rPr>
          <w:rStyle w:val="NormalTok"/>
        </w:rPr>
        <w:t xml:space="preserve">(</w:t>
      </w:r>
      <w:r>
        <w:rPr>
          <w:rStyle w:val="AttributeTok"/>
        </w:rPr>
        <w:t xml:space="preserve">message =</w:t>
      </w:r>
      <w:r>
        <w:rPr>
          <w:rStyle w:val="NormalTok"/>
        </w:rPr>
        <w:t xml:space="preserve"> </w:t>
      </w:r>
      <w:r>
        <w:rPr>
          <w:rStyle w:val="ConstantTok"/>
        </w:rPr>
        <w:t xml:space="preserve">FALSE</w:t>
      </w:r>
      <w:r>
        <w:rPr>
          <w:rStyle w:val="NormalTok"/>
        </w:rPr>
        <w:t xml:space="preserve">)</w:t>
      </w:r>
      <w:r>
        <w:br/>
      </w:r>
      <w:r>
        <w:rPr>
          <w:rStyle w:val="FunctionTok"/>
        </w:rPr>
        <w:t xml:space="preserve">options</w:t>
      </w:r>
      <w:r>
        <w:rPr>
          <w:rStyle w:val="NormalTok"/>
        </w:rPr>
        <w:t xml:space="preserve">(</w:t>
      </w:r>
      <w:r>
        <w:rPr>
          <w:rStyle w:val="StringTok"/>
        </w:rPr>
        <w:t xml:space="preserve">'digits'</w:t>
      </w:r>
      <w:r>
        <w:rPr>
          <w:rStyle w:val="NormalTok"/>
        </w:rPr>
        <w:t xml:space="preserve"> </w:t>
      </w:r>
      <w:r>
        <w:rPr>
          <w:rStyle w:val="OtherTok"/>
        </w:rPr>
        <w:t xml:space="preserve">=</w:t>
      </w:r>
      <w:r>
        <w:rPr>
          <w:rStyle w:val="NormalTok"/>
        </w:rPr>
        <w:t xml:space="preserve"> </w:t>
      </w:r>
      <w:r>
        <w:rPr>
          <w:rStyle w:val="DecValTok"/>
        </w:rPr>
        <w:t xml:space="preserve">6</w:t>
      </w:r>
      <w:r>
        <w:rPr>
          <w:rStyle w:val="NormalTok"/>
        </w:rPr>
        <w:t xml:space="preserve">)</w:t>
      </w:r>
      <w:r>
        <w:br/>
      </w:r>
      <w:r>
        <w:br/>
      </w:r>
      <w:r>
        <w:rPr>
          <w:rStyle w:val="FunctionTok"/>
        </w:rPr>
        <w:t xml:space="preserve">panderOptions</w:t>
      </w:r>
      <w:r>
        <w:rPr>
          <w:rStyle w:val="NormalTok"/>
        </w:rPr>
        <w:t xml:space="preserve">(</w:t>
      </w:r>
      <w:r>
        <w:rPr>
          <w:rStyle w:val="StringTok"/>
        </w:rPr>
        <w:t xml:space="preserve">"big.mark"</w:t>
      </w:r>
      <w:r>
        <w:rPr>
          <w:rStyle w:val="NormalTok"/>
        </w:rPr>
        <w:t xml:space="preserve">, </w:t>
      </w:r>
      <w:r>
        <w:rPr>
          <w:rStyle w:val="StringTok"/>
        </w:rPr>
        <w:t xml:space="preserve">","</w:t>
      </w:r>
      <w:r>
        <w:rPr>
          <w:rStyle w:val="NormalTok"/>
        </w:rPr>
        <w:t xml:space="preserve">)</w:t>
      </w:r>
      <w:r>
        <w:br/>
      </w:r>
      <w:r>
        <w:rPr>
          <w:rStyle w:val="NormalTok"/>
        </w:rPr>
        <w:t xml:space="preserve">pander</w:t>
      </w:r>
      <w:r>
        <w:rPr>
          <w:rStyle w:val="SpecialCharTok"/>
        </w:rPr>
        <w:t xml:space="preserve">::</w:t>
      </w:r>
      <w:r>
        <w:rPr>
          <w:rStyle w:val="FunctionTok"/>
        </w:rPr>
        <w:t xml:space="preserve">panderOptions</w:t>
      </w:r>
      <w:r>
        <w:rPr>
          <w:rStyle w:val="NormalTok"/>
        </w:rPr>
        <w:t xml:space="preserve">(</w:t>
      </w:r>
      <w:r>
        <w:rPr>
          <w:rStyle w:val="StringTok"/>
        </w:rPr>
        <w:t xml:space="preserve">"table.emphasize.rownames"</w:t>
      </w:r>
      <w:r>
        <w:rPr>
          <w:rStyle w:val="NormalTok"/>
        </w:rPr>
        <w:t xml:space="preserve">, </w:t>
      </w:r>
      <w:r>
        <w:rPr>
          <w:rStyle w:val="ConstantTok"/>
        </w:rPr>
        <w:t xml:space="preserve">FALSE</w:t>
      </w:r>
      <w:r>
        <w:rPr>
          <w:rStyle w:val="NormalTok"/>
        </w:rPr>
        <w:t xml:space="preserve">)</w:t>
      </w:r>
      <w:r>
        <w:br/>
      </w:r>
      <w:r>
        <w:rPr>
          <w:rStyle w:val="NormalTok"/>
        </w:rPr>
        <w:t xml:space="preserve">pander</w:t>
      </w:r>
      <w:r>
        <w:rPr>
          <w:rStyle w:val="SpecialCharTok"/>
        </w:rPr>
        <w:t xml:space="preserve">::</w:t>
      </w:r>
      <w:r>
        <w:rPr>
          <w:rStyle w:val="FunctionTok"/>
        </w:rPr>
        <w:t xml:space="preserve">panderOptions</w:t>
      </w:r>
      <w:r>
        <w:rPr>
          <w:rStyle w:val="NormalTok"/>
        </w:rPr>
        <w:t xml:space="preserve">(</w:t>
      </w:r>
      <w:r>
        <w:rPr>
          <w:rStyle w:val="StringTok"/>
        </w:rPr>
        <w:t xml:space="preserve">"table.split.table"</w:t>
      </w:r>
      <w:r>
        <w:rPr>
          <w:rStyle w:val="NormalTok"/>
        </w:rPr>
        <w:t xml:space="preserve">, </w:t>
      </w:r>
      <w:r>
        <w:rPr>
          <w:rStyle w:val="ConstantTok"/>
        </w:rPr>
        <w:t xml:space="preserve">Inf</w:t>
      </w:r>
      <w:r>
        <w:rPr>
          <w:rStyle w:val="NormalTok"/>
        </w:rPr>
        <w:t xml:space="preserve">)</w:t>
      </w:r>
      <w:r>
        <w:br/>
      </w:r>
      <w:r>
        <w:rPr>
          <w:rStyle w:val="FunctionTok"/>
        </w:rPr>
        <w:t xml:space="preserve">conflicts_prefer</w:t>
      </w:r>
      <w:r>
        <w:rPr>
          <w:rStyle w:val="NormalTok"/>
        </w:rPr>
        <w:t xml:space="preserve">(dplyr</w:t>
      </w:r>
      <w:r>
        <w:rPr>
          <w:rStyle w:val="SpecialCharTok"/>
        </w:rPr>
        <w:t xml:space="preserve">::</w:t>
      </w:r>
      <w:r>
        <w:rPr>
          <w:rStyle w:val="NormalTok"/>
        </w:rPr>
        <w:t xml:space="preserve">filter) </w:t>
      </w:r>
      <w:r>
        <w:rPr>
          <w:rStyle w:val="CommentTok"/>
        </w:rPr>
        <w:t xml:space="preserve"># use the `filter()` function from dplyr() by default</w:t>
      </w:r>
      <w:r>
        <w:br/>
      </w:r>
      <w:r>
        <w:rPr>
          <w:rStyle w:val="NormalTok"/>
        </w:rPr>
        <w:t xml:space="preserve">legend_text_size </w:t>
      </w:r>
      <w:r>
        <w:rPr>
          <w:rStyle w:val="OtherTok"/>
        </w:rPr>
        <w:t xml:space="preserve">=</w:t>
      </w:r>
      <w:r>
        <w:rPr>
          <w:rStyle w:val="NormalTok"/>
        </w:rPr>
        <w:t xml:space="preserve"> </w:t>
      </w:r>
      <w:r>
        <w:rPr>
          <w:rStyle w:val="DecValTok"/>
        </w:rPr>
        <w:t xml:space="preserve">9</w:t>
      </w:r>
      <w:r>
        <w:br/>
      </w:r>
      <w:r>
        <w:rPr>
          <w:rStyle w:val="NormalTok"/>
        </w:rPr>
        <w:t xml:space="preserve">run_graphs </w:t>
      </w:r>
      <w:r>
        <w:rPr>
          <w:rStyle w:val="OtherTok"/>
        </w:rPr>
        <w:t xml:space="preserve">=</w:t>
      </w:r>
      <w:r>
        <w:rPr>
          <w:rStyle w:val="NormalTok"/>
        </w:rPr>
        <w:t xml:space="preserve"> </w:t>
      </w:r>
      <w:r>
        <w:rPr>
          <w:rStyle w:val="ConstantTok"/>
        </w:rPr>
        <w:t xml:space="preserve">TRUE</w:t>
      </w:r>
    </w:p>
    <w:p>
      <w:r>
        <w:pict>
          <v:rect style="width:0;height:1.5pt" o:hralign="center" o:hrstd="t" o:hr="t"/>
        </w:pict>
      </w:r>
    </w:p>
    <w:p>
      <w:pPr>
        <w:pStyle w:val="FirstParagraph"/>
      </w:pPr>
      <w:r>
        <w:t xml:space="preserve">Classification is a core problem in statistics and machine learning:</w:t>
      </w:r>
      <w:r>
        <w:t xml:space="preserve"> </w:t>
      </w:r>
      <w:r>
        <w:t xml:space="preserve">we seek to assign individuals or observations to one of several discrete categories</w:t>
      </w:r>
      <w:r>
        <w:t xml:space="preserve"> </w:t>
      </w:r>
      <w:r>
        <w:t xml:space="preserve">based on available data.</w:t>
      </w:r>
      <w:r>
        <w:t xml:space="preserve"> </w:t>
      </w:r>
      <w:r>
        <w:t xml:space="preserve">In medicine and epidemiology,</w:t>
      </w:r>
      <w:r>
        <w:t xml:space="preserve"> </w:t>
      </w:r>
      <w:r>
        <w:t xml:space="preserve">classification problems arise constantly—for example,</w:t>
      </w:r>
      <w:r>
        <w:t xml:space="preserve"> </w:t>
      </w:r>
      <w:r>
        <w:t xml:space="preserve">determining whether a patient has a disease based on test results,</w:t>
      </w:r>
      <w:r>
        <w:t xml:space="preserve"> </w:t>
      </w:r>
      <w:r>
        <w:t xml:space="preserve">biomarkers, or clinical signs.</w:t>
      </w:r>
    </w:p>
    <w:tbl>
      <w:tblPr>
        <w:tblStyle w:val="Table"/>
        <w:tblInd w:w="164" w:type="dxa"/>
        <w:tblBorders>
          <w:left w:val="single" w:sz="24" w:space="0" w:color="909090"/>
        </w:tblBorders>
        <w:tblCellMar>
          <w:left w:w="0" w:type="dxa"/>
          <w:right w:w="0" w:type="dxa"/>
        </w:tblCellMar>
        <w:tblLook w:firstRow="0" w:lastRow="0" w:firstColumn="0" w:lastColumn="0" w:noHBand="0" w:noVBand="0" w:val="0000"/>
      </w:tblPr>
      <w:tblGrid>
        <w:gridCol w:w="7920"/>
      </w:tblGrid>
      <w:tr>
        <w:trPr>
          <w:cantSplit/>
        </w:trPr>
        <w:tc>
          <w:tcPr>
            <w:tcMar>
              <w:left w:w="144" w:type="dxa"/>
            </w:tcMar>
          </w:tcPr>
          <w:p>
            <w:pPr>
              <w:pStyle w:val="BodyText"/>
            </w:pPr>
            <w:pPr>
              <w:spacing w:before="16" w:after="64"/>
            </w:pPr>
          </w:p>
          <w:bookmarkStart w:id="9" w:name="def-classification"/>
          <w:p>
            <w:pPr>
              <w:pStyle w:val="BodyText"/>
            </w:pPr>
            <w:r>
              <w:rPr>
                <w:b/>
                <w:bCs/>
              </w:rPr>
              <w:t xml:space="preserve">Definition 1 (Classification)</w:t>
            </w:r>
            <w:r>
              <w:t xml:space="preserve"> </w:t>
            </w:r>
            <w:r>
              <w:t xml:space="preserve">A</w:t>
            </w:r>
            <w:r>
              <w:t xml:space="preserve"> </w:t>
            </w:r>
            <w:r>
              <w:rPr>
                <w:b/>
                <w:bCs/>
              </w:rPr>
              <w:t xml:space="preserve">classification problem</w:t>
            </w:r>
            <w:r>
              <w:t xml:space="preserve"> </w:t>
            </w:r>
            <w:r>
              <w:t xml:space="preserve">is a statistical problem in which</w:t>
            </w:r>
            <w:r>
              <w:t xml:space="preserve"> </w:t>
            </w:r>
            <w:r>
              <w:t xml:space="preserve">we seek to assign observations to one of two or more discrete categories (classes)</w:t>
            </w:r>
            <w:r>
              <w:t xml:space="preserve"> </w:t>
            </w:r>
            <w:r>
              <w:t xml:space="preserve">based on observed features or predictors.</w:t>
            </w:r>
            <w:r>
              <w:t xml:space="preserve"> </w:t>
            </w:r>
            <w:r>
              <w:t xml:space="preserve">In the binary case, we assign each observation to one of two classes,</w:t>
            </w:r>
            <w:r>
              <w:t xml:space="preserve"> </w:t>
            </w:r>
            <w:r>
              <w:t xml:space="preserve">often labeled as</w:t>
            </w:r>
            <w:r>
              <w:t xml:space="preserve"> </w:t>
            </w:r>
            <w:r>
              <w:t xml:space="preserve">“positive”</w:t>
            </w:r>
            <w:r>
              <w:t xml:space="preserve"> </w:t>
            </w:r>
            <w:r>
              <w:t xml:space="preserve">or</w:t>
            </w:r>
            <w:r>
              <w:t xml:space="preserve"> </w:t>
            </w:r>
            <w:r>
              <w:t xml:space="preserve">“negative”</w:t>
            </w:r>
            <w:r>
              <w:t xml:space="preserve">,</w:t>
            </w:r>
            <w:r>
              <w:t xml:space="preserve"> </w:t>
            </w:r>
            <w:r>
              <w:t xml:space="preserve">“diseased”</w:t>
            </w:r>
            <w:r>
              <w:t xml:space="preserve"> </w:t>
            </w:r>
            <w:r>
              <w:t xml:space="preserve">or</w:t>
            </w:r>
            <w:r>
              <w:t xml:space="preserve"> </w:t>
            </w:r>
            <w:r>
              <w:t xml:space="preserve">“healthy”</w:t>
            </w:r>
            <w:r>
              <w:t xml:space="preserve">, etc.</w:t>
            </w:r>
          </w:p>
          <w:bookmarkEnd w:id="9"/>
        </w:tc>
      </w:tr>
    </w:tbl>
    <w:p>
      <w:r>
        <w:pict>
          <v:rect style="width:0;height:1.5pt" o:hralign="center" o:hrstd="t" o:hr="t"/>
        </w:pict>
      </w:r>
    </w:p>
    <w:p>
      <w:pPr>
        <w:pStyle w:val="FirstParagraph"/>
      </w:pPr>
      <w:r>
        <w:t xml:space="preserve">A central challenge in medical classification is interpreting test results correctly.</w:t>
      </w:r>
      <w:r>
        <w:t xml:space="preserve"> </w:t>
      </w:r>
      <w:r>
        <w:t xml:space="preserve">A test may appear highly accurate in isolation,</w:t>
      </w:r>
      <w:r>
        <w:t xml:space="preserve"> </w:t>
      </w:r>
      <w:r>
        <w:t xml:space="preserve">yet its predictive value for an individual patient depends heavily on the</w:t>
      </w:r>
      <w:r>
        <w:t xml:space="preserve"> </w:t>
      </w:r>
      <w:r>
        <w:t xml:space="preserve">prevalence of the condition in the population being tested.</w:t>
      </w:r>
      <w:r>
        <w:t xml:space="preserve"> </w:t>
      </w:r>
      <w:r>
        <w:t xml:space="preserve">Understanding this interplay requires tools from probability theory—in particular,</w:t>
      </w:r>
      <w:r>
        <w:t xml:space="preserve"> </w:t>
      </w:r>
      <w:r>
        <w:t xml:space="preserve">Bayes’ theorem and the law of total probability.</w:t>
      </w:r>
    </w:p>
    <w:p>
      <w:pPr>
        <w:pStyle w:val="BodyText"/>
      </w:pPr>
      <w:r>
        <w:t xml:space="preserve">In the sections below, we define the key performance measures of a diagnostic test</w:t>
      </w:r>
      <w:r>
        <w:t xml:space="preserve"> </w:t>
      </w:r>
      <w:r>
        <w:t xml:space="preserve">and work through a concrete example using COVID-19 testing.</w:t>
      </w:r>
    </w:p>
    <w:bookmarkEnd w:id="10"/>
    <w:bookmarkStart w:id="15" w:name="diagnostic-test-characteristics"/>
    <w:p>
      <w:pPr>
        <w:pStyle w:val="Heading2"/>
      </w:pPr>
      <w:r>
        <w:t xml:space="preserve">1 Diagnostic test characteristics</w:t>
      </w:r>
    </w:p>
    <w:p>
      <w:pPr>
        <w:pStyle w:val="FirstParagraph"/>
      </w:pPr>
      <w:r>
        <w:t xml:space="preserve">When evaluating a diagnostic test, we consider several key performance measures:</w:t>
      </w:r>
    </w:p>
    <w:tbl>
      <w:tblPr>
        <w:tblStyle w:val="Table"/>
        <w:tblInd w:w="164" w:type="dxa"/>
        <w:tblBorders>
          <w:left w:val="single" w:sz="24" w:space="0" w:color="909090"/>
        </w:tblBorders>
        <w:tblCellMar>
          <w:left w:w="0" w:type="dxa"/>
          <w:right w:w="0" w:type="dxa"/>
        </w:tblCellMar>
        <w:tblLook w:firstRow="0" w:lastRow="0" w:firstColumn="0" w:lastColumn="0" w:noHBand="0" w:noVBand="0" w:val="0000"/>
      </w:tblPr>
      <w:tblGrid>
        <w:gridCol w:w="7920"/>
      </w:tblGrid>
      <w:tr>
        <w:trPr>
          <w:cantSplit/>
        </w:trPr>
        <w:tc>
          <w:tcPr>
            <w:tcMar>
              <w:left w:w="144" w:type="dxa"/>
            </w:tcMar>
          </w:tcPr>
          <w:p>
            <w:pPr>
              <w:pStyle w:val="BodyText"/>
            </w:pPr>
            <w:pPr>
              <w:spacing w:before="16" w:after="64"/>
            </w:pPr>
          </w:p>
          <w:bookmarkStart w:id="11" w:name="def-sensitivity"/>
          <w:p>
            <w:pPr>
              <w:pStyle w:val="BodyText"/>
            </w:pPr>
            <w:r>
              <w:rPr>
                <w:b/>
                <w:bCs/>
              </w:rPr>
              <w:t xml:space="preserve">Definition 2 (Sensitivity)</w:t>
            </w:r>
            <w:r>
              <w:t xml:space="preserve"> </w:t>
            </w:r>
            <w:r>
              <w:t xml:space="preserve">The probability that the test is positive given that the person has the disease, denoted</w:t>
            </w:r>
            <w:r>
              <w:t xml:space="preserve"> </w:t>
            </w:r>
            <m:oMath>
              <m:r>
                <m:rPr>
                  <m:nor/>
                  <m:sty m:val="p"/>
                </m:rPr>
                <m:t>P</m:t>
              </m:r>
              <m:d>
                <m:dPr>
                  <m:begChr m:val="("/>
                  <m:sepChr m:val=""/>
                  <m:endChr m:val=")"/>
                  <m:grow/>
                </m:dPr>
                <m:e>
                  <m:r>
                    <m:rPr>
                      <m:nor/>
                      <m:sty m:val="p"/>
                    </m:rPr>
                    <m:t>positive</m:t>
                  </m:r>
                  <m:r>
                    <m:rPr>
                      <m:sty m:val="p"/>
                    </m:rPr>
                    <m:t>∣</m:t>
                  </m:r>
                  <m:r>
                    <m:rPr>
                      <m:nor/>
                      <m:sty m:val="p"/>
                    </m:rPr>
                    <m:t>disease</m:t>
                  </m:r>
                </m:e>
              </m:d>
            </m:oMath>
            <w:r>
              <w:t xml:space="preserve">.</w:t>
            </w:r>
          </w:p>
          <w:bookmarkEnd w:id="11"/>
        </w:tc>
      </w:tr>
    </w:tbl>
    <w:p>
      <w:pPr>
        <w:pStyle w:val="BodyText"/>
      </w:pPr>
      <w:r>
        <w:t xml:space="preserve"> </w:t>
      </w:r>
    </w:p>
    <w:tbl>
      <w:tblPr>
        <w:tblStyle w:val="Table"/>
        <w:tblInd w:w="164" w:type="dxa"/>
        <w:tblBorders>
          <w:left w:val="single" w:sz="24" w:space="0" w:color="909090"/>
        </w:tblBorders>
        <w:tblCellMar>
          <w:left w:w="0" w:type="dxa"/>
          <w:right w:w="0" w:type="dxa"/>
        </w:tblCellMar>
        <w:tblLook w:firstRow="0" w:lastRow="0" w:firstColumn="0" w:lastColumn="0" w:noHBand="0" w:noVBand="0" w:val="0000"/>
      </w:tblPr>
      <w:tblGrid>
        <w:gridCol w:w="7920"/>
      </w:tblGrid>
      <w:tr>
        <w:trPr>
          <w:cantSplit/>
        </w:trPr>
        <w:tc>
          <w:tcPr>
            <w:tcMar>
              <w:left w:w="144" w:type="dxa"/>
            </w:tcMar>
          </w:tcPr>
          <w:p>
            <w:pPr>
              <w:pStyle w:val="BodyText"/>
            </w:pPr>
            <w:pPr>
              <w:spacing w:before="16" w:after="64"/>
            </w:pPr>
          </w:p>
          <w:bookmarkStart w:id="12" w:name="def-specificity"/>
          <w:p>
            <w:pPr>
              <w:pStyle w:val="BodyText"/>
            </w:pPr>
            <w:r>
              <w:rPr>
                <w:b/>
                <w:bCs/>
              </w:rPr>
              <w:t xml:space="preserve">Definition 3 (Specificity)</w:t>
            </w:r>
            <w:r>
              <w:t xml:space="preserve"> </w:t>
            </w:r>
            <w:r>
              <w:t xml:space="preserve">The probability that the test is negative given that the person does not have the disease, denoted</w:t>
            </w:r>
            <w:r>
              <w:t xml:space="preserve"> </w:t>
            </w:r>
            <m:oMath>
              <m:r>
                <m:rPr>
                  <m:nor/>
                  <m:sty m:val="p"/>
                </m:rPr>
                <m:t>P</m:t>
              </m:r>
              <m:d>
                <m:dPr>
                  <m:begChr m:val="("/>
                  <m:sepChr m:val=""/>
                  <m:endChr m:val=")"/>
                  <m:grow/>
                </m:dPr>
                <m:e>
                  <m:r>
                    <m:rPr>
                      <m:nor/>
                      <m:sty m:val="p"/>
                    </m:rPr>
                    <m:t>negative</m:t>
                  </m:r>
                  <m:r>
                    <m:rPr>
                      <m:sty m:val="p"/>
                    </m:rPr>
                    <m:t>∣</m:t>
                  </m:r>
                  <m:r>
                    <m:rPr>
                      <m:nor/>
                      <m:sty m:val="p"/>
                    </m:rPr>
                    <m:t>no disease</m:t>
                  </m:r>
                </m:e>
              </m:d>
            </m:oMath>
            <w:r>
              <w:t xml:space="preserve">.</w:t>
            </w:r>
          </w:p>
          <w:bookmarkEnd w:id="12"/>
        </w:tc>
      </w:tr>
    </w:tbl>
    <w:p>
      <w:pPr>
        <w:pStyle w:val="BodyText"/>
      </w:pPr>
      <w:r>
        <w:t xml:space="preserve"> </w:t>
      </w:r>
    </w:p>
    <w:tbl>
      <w:tblPr>
        <w:tblStyle w:val="Table"/>
        <w:tblInd w:w="164" w:type="dxa"/>
        <w:tblBorders>
          <w:left w:val="single" w:sz="24" w:space="0" w:color="909090"/>
        </w:tblBorders>
        <w:tblCellMar>
          <w:left w:w="0" w:type="dxa"/>
          <w:right w:w="0" w:type="dxa"/>
        </w:tblCellMar>
        <w:tblLook w:firstRow="0" w:lastRow="0" w:firstColumn="0" w:lastColumn="0" w:noHBand="0" w:noVBand="0" w:val="0000"/>
      </w:tblPr>
      <w:tblGrid>
        <w:gridCol w:w="7920"/>
      </w:tblGrid>
      <w:tr>
        <w:trPr>
          <w:cantSplit/>
        </w:trPr>
        <w:tc>
          <w:tcPr>
            <w:tcMar>
              <w:left w:w="144" w:type="dxa"/>
            </w:tcMar>
          </w:tcPr>
          <w:p>
            <w:pPr>
              <w:pStyle w:val="BodyText"/>
            </w:pPr>
            <w:pPr>
              <w:spacing w:before="16" w:after="64"/>
            </w:pPr>
          </w:p>
          <w:bookmarkStart w:id="13" w:name="def-ppv"/>
          <w:p>
            <w:pPr>
              <w:pStyle w:val="BodyText"/>
            </w:pPr>
            <w:r>
              <w:rPr>
                <w:b/>
                <w:bCs/>
              </w:rPr>
              <w:t xml:space="preserve">Definition 4 (Positive Predictive Value (PPV))</w:t>
            </w:r>
            <w:r>
              <w:t xml:space="preserve"> </w:t>
            </w:r>
            <w:r>
              <w:t xml:space="preserve">The probability that a person has the disease given that their test is positive, denoted</w:t>
            </w:r>
            <w:r>
              <w:t xml:space="preserve"> </w:t>
            </w:r>
            <m:oMath>
              <m:r>
                <m:rPr>
                  <m:nor/>
                  <m:sty m:val="p"/>
                </m:rPr>
                <m:t>P</m:t>
              </m:r>
              <m:d>
                <m:dPr>
                  <m:begChr m:val="("/>
                  <m:sepChr m:val=""/>
                  <m:endChr m:val=")"/>
                  <m:grow/>
                </m:dPr>
                <m:e>
                  <m:r>
                    <m:rPr>
                      <m:nor/>
                      <m:sty m:val="p"/>
                    </m:rPr>
                    <m:t>disease</m:t>
                  </m:r>
                  <m:r>
                    <m:rPr>
                      <m:sty m:val="p"/>
                    </m:rPr>
                    <m:t>∣</m:t>
                  </m:r>
                  <m:r>
                    <m:rPr>
                      <m:nor/>
                      <m:sty m:val="p"/>
                    </m:rPr>
                    <m:t>positive</m:t>
                  </m:r>
                </m:e>
              </m:d>
            </m:oMath>
            <w:r>
              <w:t xml:space="preserve">.</w:t>
            </w:r>
          </w:p>
          <w:bookmarkEnd w:id="13"/>
        </w:tc>
      </w:tr>
    </w:tbl>
    <w:p>
      <w:pPr>
        <w:pStyle w:val="BodyText"/>
      </w:pPr>
      <w:r>
        <w:t xml:space="preserve"> </w:t>
      </w:r>
    </w:p>
    <w:tbl>
      <w:tblPr>
        <w:tblStyle w:val="Table"/>
        <w:tblInd w:w="164" w:type="dxa"/>
        <w:tblBorders>
          <w:left w:val="single" w:sz="24" w:space="0" w:color="909090"/>
        </w:tblBorders>
        <w:tblCellMar>
          <w:left w:w="0" w:type="dxa"/>
          <w:right w:w="0" w:type="dxa"/>
        </w:tblCellMar>
        <w:tblLook w:firstRow="0" w:lastRow="0" w:firstColumn="0" w:lastColumn="0" w:noHBand="0" w:noVBand="0" w:val="0000"/>
      </w:tblPr>
      <w:tblGrid>
        <w:gridCol w:w="7920"/>
      </w:tblGrid>
      <w:tr>
        <w:trPr>
          <w:cantSplit/>
        </w:trPr>
        <w:tc>
          <w:tcPr>
            <w:tcMar>
              <w:left w:w="144" w:type="dxa"/>
            </w:tcMar>
          </w:tcPr>
          <w:p>
            <w:pPr>
              <w:pStyle w:val="BodyText"/>
            </w:pPr>
            <w:pPr>
              <w:spacing w:before="16" w:after="64"/>
            </w:pPr>
          </w:p>
          <w:bookmarkStart w:id="14" w:name="def-npv"/>
          <w:p>
            <w:pPr>
              <w:pStyle w:val="BodyText"/>
            </w:pPr>
            <w:r>
              <w:rPr>
                <w:b/>
                <w:bCs/>
              </w:rPr>
              <w:t xml:space="preserve">Definition 5 (Negative Predictive Value (NPV))</w:t>
            </w:r>
            <w:r>
              <w:t xml:space="preserve"> </w:t>
            </w:r>
            <w:r>
              <w:t xml:space="preserve">The probability that a person does not have the disease given that their test is negative, denoted</w:t>
            </w:r>
            <w:r>
              <w:t xml:space="preserve"> </w:t>
            </w:r>
            <m:oMath>
              <m:r>
                <m:rPr>
                  <m:nor/>
                  <m:sty m:val="p"/>
                </m:rPr>
                <m:t>P</m:t>
              </m:r>
              <m:d>
                <m:dPr>
                  <m:begChr m:val="("/>
                  <m:sepChr m:val=""/>
                  <m:endChr m:val=")"/>
                  <m:grow/>
                </m:dPr>
                <m:e>
                  <m:r>
                    <m:rPr>
                      <m:nor/>
                      <m:sty m:val="p"/>
                    </m:rPr>
                    <m:t>no disease</m:t>
                  </m:r>
                  <m:r>
                    <m:rPr>
                      <m:sty m:val="p"/>
                    </m:rPr>
                    <m:t>∣</m:t>
                  </m:r>
                  <m:r>
                    <m:rPr>
                      <m:nor/>
                      <m:sty m:val="p"/>
                    </m:rPr>
                    <m:t>negative</m:t>
                  </m:r>
                </m:e>
              </m:d>
            </m:oMath>
            <w:r>
              <w:t xml:space="preserve">.</w:t>
            </w:r>
          </w:p>
          <w:bookmarkEnd w:id="14"/>
        </w:tc>
      </w:tr>
    </w:tbl>
    <w:p>
      <w:r>
        <w:pict>
          <v:rect style="width:0;height:1.5pt" o:hralign="center" o:hrstd="t" o:hr="t"/>
        </w:pict>
      </w:r>
    </w:p>
    <w:bookmarkEnd w:id="15"/>
    <w:bookmarkStart w:id="16" w:name="example-covid-19-testing"/>
    <w:p>
      <w:pPr>
        <w:pStyle w:val="Heading2"/>
      </w:pPr>
      <w:r>
        <w:t xml:space="preserve">2 Example: COVID-19 testing</w:t>
      </w:r>
    </w:p>
    <w:p>
      <w:pPr>
        <w:pStyle w:val="FirstParagraph"/>
      </w:pPr>
      <w:r>
        <w:t xml:space="preserve">Suppose we have a COVID-19 test with the following characteristics: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99% sensitive</w:t>
      </w:r>
      <w:r>
        <w:t xml:space="preserve">: If a person has COVID-19, the test will be positive 99% of the time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99% specific</w:t>
      </w:r>
      <w:r>
        <w:t xml:space="preserve">: If a person does not have COVID-19, the test will be negative 99% of the time</w:t>
      </w:r>
    </w:p>
    <w:p>
      <w:r>
        <w:pict>
          <v:rect style="width:0;height:1.5pt" o:hralign="center" o:hrstd="t" o:hr="t"/>
        </w:pict>
      </w:r>
    </w:p>
    <w:p>
      <w:pPr>
        <w:pStyle w:val="FirstParagraph"/>
      </w:pPr>
      <w:r>
        <w:t xml:space="preserve">Let’s define our events:</w:t>
      </w:r>
    </w:p>
    <w:p>
      <w:pPr>
        <w:pStyle w:val="Compact"/>
        <w:numPr>
          <w:ilvl w:val="0"/>
          <w:numId w:val="1002"/>
        </w:numPr>
      </w:pPr>
      <w:r>
        <w:t xml:space="preserve">Let</w:t>
      </w:r>
      <w:r>
        <w:t xml:space="preserve"> </w:t>
      </w:r>
      <m:oMath>
        <m:r>
          <m:t>D</m:t>
        </m:r>
      </m:oMath>
      <w:r>
        <w:t xml:space="preserve"> </w:t>
      </w:r>
      <w:r>
        <w:t xml:space="preserve">denote the event</w:t>
      </w:r>
      <w:r>
        <w:t xml:space="preserve"> </w:t>
      </w:r>
      <w:r>
        <w:t xml:space="preserve">“person has COVID-19”</w:t>
      </w:r>
    </w:p>
    <w:p>
      <w:pPr>
        <w:pStyle w:val="Compact"/>
        <w:numPr>
          <w:ilvl w:val="0"/>
          <w:numId w:val="1002"/>
        </w:numPr>
      </w:pPr>
      <w:r>
        <w:t xml:space="preserve">Let</w:t>
      </w:r>
      <w:r>
        <w:t xml:space="preserve"> </w:t>
      </w:r>
      <m:oMath>
        <m:r>
          <m:rPr>
            <m:sty m:val="p"/>
          </m:rPr>
          <m:t>+</m:t>
        </m:r>
      </m:oMath>
      <w:r>
        <w:t xml:space="preserve"> </w:t>
      </w:r>
      <w:r>
        <w:t xml:space="preserve">denote the event</w:t>
      </w:r>
      <w:r>
        <w:t xml:space="preserve"> </w:t>
      </w:r>
      <w:r>
        <w:t xml:space="preserve">“test is positive”</w:t>
      </w:r>
    </w:p>
    <w:p>
      <w:pPr>
        <w:pStyle w:val="FirstParagraph"/>
      </w:pPr>
      <w:r>
        <w:t xml:space="preserve">Then our test characteristics can be written as:</w:t>
      </w:r>
    </w:p>
    <w:p>
      <w:pPr>
        <w:pStyle w:val="BodyText"/>
      </w:pPr>
      <m:oMathPara>
        <m:oMathParaPr>
          <m:jc m:val="center"/>
        </m:oMathParaPr>
        <m:oMath>
          <m:r>
            <m:rPr>
              <m:nor/>
              <m:sty m:val="p"/>
            </m:rPr>
            <m:t>P</m:t>
          </m:r>
          <m:d>
            <m:dPr>
              <m:begChr m:val="("/>
              <m:sepChr m:val=""/>
              <m:endChr m:val=")"/>
              <m:grow/>
            </m:dPr>
            <m:e>
              <m:r>
                <m:rPr>
                  <m:sty m:val="p"/>
                </m:rPr>
                <m:t>+</m:t>
              </m:r>
              <m:r>
                <m:rPr>
                  <m:sty m:val="p"/>
                </m:rPr>
                <m:t>∣</m:t>
              </m:r>
              <m:r>
                <m:t>D</m:t>
              </m:r>
            </m:e>
          </m:d>
          <m:r>
            <m:rPr>
              <m:sty m:val="p"/>
            </m:rPr>
            <m:t>=</m:t>
          </m:r>
          <m:r>
            <m:t>0.99</m:t>
          </m:r>
          <m:r>
            <m:t> </m:t>
          </m:r>
          <m:r>
            <m:rPr>
              <m:nor/>
              <m:sty m:val="p"/>
            </m:rPr>
            <m:t>(sensitivity)</m:t>
          </m:r>
        </m:oMath>
      </m:oMathPara>
    </w:p>
    <w:p>
      <w:pPr>
        <w:pStyle w:val="FirstParagraph"/>
      </w:pPr>
      <m:oMathPara>
        <m:oMathParaPr>
          <m:jc m:val="center"/>
        </m:oMathParaPr>
        <m:oMath>
          <m:r>
            <m:rPr>
              <m:nor/>
              <m:sty m:val="p"/>
            </m:rPr>
            <m:t>P</m:t>
          </m:r>
          <m:d>
            <m:dPr>
              <m:begChr m:val="("/>
              <m:sepChr m:val=""/>
              <m:endChr m:val=")"/>
              <m:grow/>
            </m:dPr>
            <m:e>
              <m:r>
                <m:rPr>
                  <m:sty m:val="p"/>
                </m:rPr>
                <m:t>−</m:t>
              </m:r>
              <m:r>
                <m:rPr>
                  <m:sty m:val="p"/>
                </m:rPr>
                <m:t>∣</m:t>
              </m:r>
              <m:r>
                <m:rPr>
                  <m:sty m:val="p"/>
                </m:rPr>
                <m:t>¬</m:t>
              </m:r>
              <m:r>
                <m:t>D</m:t>
              </m:r>
            </m:e>
          </m:d>
          <m:r>
            <m:rPr>
              <m:sty m:val="p"/>
            </m:rPr>
            <m:t>=</m:t>
          </m:r>
          <m:r>
            <m:t>0.99</m:t>
          </m:r>
          <m:r>
            <m:t> </m:t>
          </m:r>
          <m:r>
            <m:rPr>
              <m:nor/>
              <m:sty m:val="p"/>
            </m:rPr>
            <m:t>(specificity)</m:t>
          </m:r>
        </m:oMath>
      </m:oMathPara>
    </w:p>
    <w:p>
      <w:r>
        <w:pict>
          <v:rect style="width:0;height:1.5pt" o:hralign="center" o:hrstd="t" o:hr="t"/>
        </w:pict>
      </w:r>
    </w:p>
    <w:p>
      <w:pPr>
        <w:pStyle w:val="FirstParagraph"/>
      </w:pPr>
      <w:r>
        <w:t xml:space="preserve">Note that if specificity is 0.99, then the false positive rate is:</w:t>
      </w:r>
    </w:p>
    <w:p>
      <w:pPr>
        <w:pStyle w:val="BodyText"/>
      </w:pPr>
      <m:oMathPara>
        <m:oMathParaPr>
          <m:jc m:val="center"/>
        </m:oMathParaPr>
        <m:oMath>
          <m:r>
            <m:rPr>
              <m:nor/>
              <m:sty m:val="p"/>
            </m:rPr>
            <m:t>P</m:t>
          </m:r>
          <m:d>
            <m:dPr>
              <m:begChr m:val="("/>
              <m:sepChr m:val=""/>
              <m:endChr m:val=")"/>
              <m:grow/>
            </m:dPr>
            <m:e>
              <m:r>
                <m:rPr>
                  <m:sty m:val="p"/>
                </m:rPr>
                <m:t>+</m:t>
              </m:r>
              <m:r>
                <m:rPr>
                  <m:sty m:val="p"/>
                </m:rPr>
                <m:t>∣</m:t>
              </m:r>
              <m:r>
                <m:rPr>
                  <m:sty m:val="p"/>
                </m:rPr>
                <m:t>¬</m:t>
              </m:r>
              <m:r>
                <m:t>D</m:t>
              </m:r>
            </m:e>
          </m:d>
          <m:r>
            <m:rPr>
              <m:sty m:val="p"/>
            </m:rPr>
            <m:t>=</m:t>
          </m:r>
          <m:r>
            <m:t>1</m:t>
          </m:r>
          <m:r>
            <m:rPr>
              <m:sty m:val="p"/>
            </m:rPr>
            <m:t>−</m:t>
          </m:r>
          <m:r>
            <m:t>0.99</m:t>
          </m:r>
          <m:r>
            <m:rPr>
              <m:sty m:val="p"/>
            </m:rPr>
            <m:t>=</m:t>
          </m:r>
          <m:r>
            <m:t>0.01</m:t>
          </m:r>
        </m:oMath>
      </m:oMathPara>
    </w:p>
    <w:p>
      <w:pPr>
        <w:pStyle w:val="FirstParagraph"/>
      </w:pPr>
      <w:r>
        <w:t xml:space="preserve">Suppose the</w:t>
      </w:r>
      <w:r>
        <w:t xml:space="preserve"> </w:t>
      </w:r>
      <w:r>
        <w:rPr>
          <w:b/>
          <w:bCs/>
        </w:rPr>
        <w:t xml:space="preserve">prevalence</w:t>
      </w:r>
      <w:r>
        <w:t xml:space="preserve"> </w:t>
      </w:r>
      <w:r>
        <w:t xml:space="preserve">of COVID-19 in the population is 7%:</w:t>
      </w:r>
    </w:p>
    <w:p>
      <w:pPr>
        <w:pStyle w:val="BodyText"/>
      </w:pPr>
      <m:oMathPara>
        <m:oMathParaPr>
          <m:jc m:val="center"/>
        </m:oMathParaPr>
        <m:oMath>
          <m:r>
            <m:rPr>
              <m:nor/>
              <m:sty m:val="p"/>
            </m:rPr>
            <m:t>P</m:t>
          </m:r>
          <m:d>
            <m:dPr>
              <m:begChr m:val="("/>
              <m:sepChr m:val=""/>
              <m:endChr m:val=")"/>
              <m:grow/>
            </m:dPr>
            <m:e>
              <m:r>
                <m:t>D</m:t>
              </m:r>
            </m:e>
          </m:d>
          <m:r>
            <m:rPr>
              <m:sty m:val="p"/>
            </m:rPr>
            <m:t>=</m:t>
          </m:r>
          <m:r>
            <m:t>0.07</m:t>
          </m:r>
        </m:oMath>
      </m:oMathPara>
    </w:p>
    <w:p>
      <w:pPr>
        <w:pStyle w:val="FirstParagraph"/>
      </w:pPr>
      <m:oMathPara>
        <m:oMathParaPr>
          <m:jc m:val="center"/>
        </m:oMathParaPr>
        <m:oMath>
          <m:r>
            <m:rPr>
              <m:nor/>
              <m:sty m:val="p"/>
            </m:rPr>
            <m:t>P</m:t>
          </m:r>
          <m:d>
            <m:dPr>
              <m:begChr m:val="("/>
              <m:sepChr m:val=""/>
              <m:endChr m:val=")"/>
              <m:grow/>
            </m:dPr>
            <m:e>
              <m:r>
                <m:rPr>
                  <m:sty m:val="p"/>
                </m:rPr>
                <m:t>¬</m:t>
              </m:r>
              <m:r>
                <m:t>D</m:t>
              </m:r>
            </m:e>
          </m:d>
          <m:r>
            <m:rPr>
              <m:sty m:val="p"/>
            </m:rPr>
            <m:t>=</m:t>
          </m:r>
          <m:r>
            <m:t>0.93</m:t>
          </m:r>
        </m:oMath>
      </m:oMathPara>
    </w:p>
    <w:p>
      <w:r>
        <w:pict>
          <v:rect style="width:0;height:1.5pt" o:hralign="center" o:hrstd="t" o:hr="t"/>
        </w:pict>
      </w:r>
    </w:p>
    <w:bookmarkEnd w:id="16"/>
    <w:bookmarkStart w:id="17" w:name="calculating-positive-predictive-value"/>
    <w:p>
      <w:pPr>
        <w:pStyle w:val="Heading2"/>
      </w:pPr>
      <w:r>
        <w:t xml:space="preserve">3 Calculating positive predictive value</w:t>
      </w:r>
    </w:p>
    <w:p>
      <w:pPr>
        <w:pStyle w:val="FirstParagraph"/>
      </w:pPr>
      <w:r>
        <w:t xml:space="preserve">The key question we want to answer is:</w:t>
      </w:r>
      <w:r>
        <w:t xml:space="preserve"> </w:t>
      </w:r>
      <w:r>
        <w:rPr>
          <w:b/>
          <w:bCs/>
        </w:rPr>
        <w:t xml:space="preserve">If someone tests positive, what is the probability they actually have COVID-19?</w:t>
      </w:r>
    </w:p>
    <w:p>
      <w:pPr>
        <w:pStyle w:val="BodyText"/>
      </w:pPr>
      <w:r>
        <w:t xml:space="preserve">This is the positive predictive value:</w:t>
      </w:r>
    </w:p>
    <w:p>
      <w:pPr>
        <w:pStyle w:val="BodyText"/>
      </w:pPr>
      <m:oMathPara>
        <m:oMathParaPr>
          <m:jc m:val="center"/>
        </m:oMathParaPr>
        <m:oMath>
          <m:r>
            <m:rPr>
              <m:nor/>
              <m:sty m:val="p"/>
            </m:rPr>
            <m:t>P</m:t>
          </m:r>
          <m:d>
            <m:dPr>
              <m:begChr m:val="("/>
              <m:sepChr m:val=""/>
              <m:endChr m:val=")"/>
              <m:grow/>
            </m:dPr>
            <m:e>
              <m:r>
                <m:t>D</m:t>
              </m:r>
              <m:r>
                <m:rPr>
                  <m:sty m:val="p"/>
                </m:rPr>
                <m:t>∣</m:t>
              </m:r>
              <m:r>
                <m:rPr>
                  <m:sty m:val="p"/>
                </m:rPr>
                <m:t>+</m:t>
              </m:r>
            </m:e>
          </m:d>
          <m:r>
            <m:rPr>
              <m:sty m:val="p"/>
            </m:rPr>
            <m:t>=</m:t>
          </m:r>
          <m:r>
            <m:t> </m:t>
          </m:r>
          <m:r>
            <m:rPr>
              <m:sty m:val="p"/>
            </m:rPr>
            <m:t>?</m:t>
          </m:r>
        </m:oMath>
      </m:oMathPara>
    </w:p>
    <w:p>
      <w:r>
        <w:pict>
          <v:rect style="width:0;height:1.5pt" o:hralign="center" o:hrstd="t" o:hr="t"/>
        </w:pict>
      </w:r>
    </w:p>
    <w:p>
      <w:pPr>
        <w:pStyle w:val="FirstParagraph"/>
      </w:pPr>
      <w:r>
        <w:t xml:space="preserve">We can use</w:t>
      </w:r>
      <w:r>
        <w:t xml:space="preserve"> </w:t>
      </w:r>
      <w:r>
        <w:rPr>
          <w:b/>
          <w:bCs/>
        </w:rPr>
        <w:t xml:space="preserve">Bayes’ theorem</w:t>
      </w:r>
      <w:r>
        <w:t xml:space="preserve"> </w:t>
      </w:r>
      <w:r>
        <w:t xml:space="preserve">to calculate this:</w:t>
      </w:r>
    </w:p>
    <w:p>
      <w:pPr>
        <w:pStyle w:val="BodyText"/>
      </w:pPr>
      <m:oMathPara>
        <m:oMathParaPr>
          <m:jc m:val="center"/>
        </m:oMathParaPr>
        <m:oMath>
          <m:r>
            <m:rPr>
              <m:nor/>
              <m:sty m:val="p"/>
            </m:rPr>
            <m:t>P</m:t>
          </m:r>
          <m:d>
            <m:dPr>
              <m:begChr m:val="("/>
              <m:sepChr m:val=""/>
              <m:endChr m:val=")"/>
              <m:grow/>
            </m:dPr>
            <m:e>
              <m:r>
                <m:t>D</m:t>
              </m:r>
              <m:r>
                <m:rPr>
                  <m:sty m:val="p"/>
                </m:rPr>
                <m:t>∣</m:t>
              </m:r>
              <m:r>
                <m:rPr>
                  <m:sty m:val="p"/>
                </m:rPr>
                <m:t>+</m:t>
              </m:r>
            </m:e>
          </m:d>
          <m:r>
            <m:rPr>
              <m:sty m:val="p"/>
            </m:rPr>
            <m:t>=</m:t>
          </m:r>
          <m:f>
            <m:fPr>
              <m:type m:val="bar"/>
            </m:fPr>
            <m:num>
              <m:r>
                <m:rPr>
                  <m:nor/>
                  <m:sty m:val="p"/>
                </m:rPr>
                <m:t>P</m:t>
              </m:r>
              <m:d>
                <m:dPr>
                  <m:begChr m:val="("/>
                  <m:sepChr m:val=""/>
                  <m:endChr m:val=")"/>
                  <m:grow/>
                </m:dPr>
                <m:e>
                  <m:r>
                    <m:rPr>
                      <m:sty m:val="p"/>
                    </m:rPr>
                    <m:t>+</m:t>
                  </m:r>
                  <m:r>
                    <m:rPr>
                      <m:sty m:val="p"/>
                    </m:rPr>
                    <m:t>∣</m:t>
                  </m:r>
                  <m:r>
                    <m:t>D</m:t>
                  </m:r>
                </m:e>
              </m:d>
              <m:r>
                <m:rPr>
                  <m:sty m:val="p"/>
                </m:rPr>
                <m:t>⋅</m:t>
              </m:r>
              <m:r>
                <m:rPr>
                  <m:nor/>
                  <m:sty m:val="p"/>
                </m:rPr>
                <m:t>P</m:t>
              </m:r>
              <m:d>
                <m:dPr>
                  <m:begChr m:val="("/>
                  <m:sepChr m:val=""/>
                  <m:endChr m:val=")"/>
                  <m:grow/>
                </m:dPr>
                <m:e>
                  <m:r>
                    <m:t>D</m:t>
                  </m:r>
                </m:e>
              </m:d>
            </m:num>
            <m:den>
              <m:r>
                <m:rPr>
                  <m:nor/>
                  <m:sty m:val="p"/>
                </m:rPr>
                <m:t>P</m:t>
              </m:r>
              <m:d>
                <m:dPr>
                  <m:begChr m:val="("/>
                  <m:sepChr m:val=""/>
                  <m:endChr m:val=")"/>
                  <m:grow/>
                </m:dPr>
                <m:e>
                  <m:r>
                    <m:rPr>
                      <m:sty m:val="p"/>
                    </m:rPr>
                    <m:t>+</m:t>
                  </m:r>
                </m:e>
              </m:d>
            </m:den>
          </m:f>
        </m:oMath>
      </m:oMathPara>
    </w:p>
    <w:p>
      <w:pPr>
        <w:pStyle w:val="FirstParagraph"/>
      </w:pPr>
      <w:r>
        <w:t xml:space="preserve">To find</w:t>
      </w:r>
      <w:r>
        <w:t xml:space="preserve"> </w:t>
      </w:r>
      <m:oMath>
        <m:r>
          <m:rPr>
            <m:nor/>
            <m:sty m:val="p"/>
          </m:rPr>
          <m:t>P</m:t>
        </m:r>
        <m:d>
          <m:dPr>
            <m:begChr m:val="("/>
            <m:sepChr m:val=""/>
            <m:endChr m:val=")"/>
            <m:grow/>
          </m:dPr>
          <m:e>
            <m:r>
              <m:rPr>
                <m:sty m:val="p"/>
              </m:rPr>
              <m:t>+</m:t>
            </m:r>
          </m:e>
        </m:d>
      </m:oMath>
      <w:r>
        <w:t xml:space="preserve">, we use the</w:t>
      </w:r>
      <w:r>
        <w:t xml:space="preserve"> </w:t>
      </w:r>
      <w:r>
        <w:rPr>
          <w:b/>
          <w:bCs/>
        </w:rPr>
        <w:t xml:space="preserve">law of total probability</w:t>
      </w:r>
      <w:r>
        <w:t xml:space="preserve">:</w:t>
      </w:r>
    </w:p>
    <w:p>
      <w:pPr>
        <w:pStyle w:val="BodyText"/>
      </w:pPr>
      <m:oMathPara>
        <m:oMathParaPr>
          <m:jc m:val="center"/>
        </m:oMathParaPr>
        <m:oMath>
          <m:r>
            <m:rPr>
              <m:nor/>
              <m:sty m:val="p"/>
            </m:rPr>
            <m:t>P</m:t>
          </m:r>
          <m:d>
            <m:dPr>
              <m:begChr m:val="("/>
              <m:sepChr m:val=""/>
              <m:endChr m:val=")"/>
              <m:grow/>
            </m:dPr>
            <m:e>
              <m:r>
                <m:rPr>
                  <m:sty m:val="p"/>
                </m:rPr>
                <m:t>+</m:t>
              </m:r>
            </m:e>
          </m:d>
          <m:r>
            <m:rPr>
              <m:sty m:val="p"/>
            </m:rPr>
            <m:t>=</m:t>
          </m:r>
          <m:r>
            <m:rPr>
              <m:nor/>
              <m:sty m:val="p"/>
            </m:rPr>
            <m:t>P</m:t>
          </m:r>
          <m:d>
            <m:dPr>
              <m:begChr m:val="("/>
              <m:sepChr m:val=""/>
              <m:endChr m:val=")"/>
              <m:grow/>
            </m:dPr>
            <m:e>
              <m:r>
                <m:rPr>
                  <m:sty m:val="p"/>
                </m:rPr>
                <m:t>+</m:t>
              </m:r>
              <m:r>
                <m:rPr>
                  <m:sty m:val="p"/>
                </m:rPr>
                <m:t>∣</m:t>
              </m:r>
              <m:r>
                <m:t>D</m:t>
              </m:r>
            </m:e>
          </m:d>
          <m:r>
            <m:rPr>
              <m:sty m:val="p"/>
            </m:rPr>
            <m:t>⋅</m:t>
          </m:r>
          <m:r>
            <m:rPr>
              <m:nor/>
              <m:sty m:val="p"/>
            </m:rPr>
            <m:t>P</m:t>
          </m:r>
          <m:d>
            <m:dPr>
              <m:begChr m:val="("/>
              <m:sepChr m:val=""/>
              <m:endChr m:val=")"/>
              <m:grow/>
            </m:dPr>
            <m:e>
              <m:r>
                <m:t>D</m:t>
              </m:r>
            </m:e>
          </m:d>
          <m:r>
            <m:rPr>
              <m:sty m:val="p"/>
            </m:rPr>
            <m:t>+</m:t>
          </m:r>
          <m:r>
            <m:rPr>
              <m:nor/>
              <m:sty m:val="p"/>
            </m:rPr>
            <m:t>P</m:t>
          </m:r>
          <m:d>
            <m:dPr>
              <m:begChr m:val="("/>
              <m:sepChr m:val=""/>
              <m:endChr m:val=")"/>
              <m:grow/>
            </m:dPr>
            <m:e>
              <m:r>
                <m:rPr>
                  <m:sty m:val="p"/>
                </m:rPr>
                <m:t>+</m:t>
              </m:r>
              <m:r>
                <m:rPr>
                  <m:sty m:val="p"/>
                </m:rPr>
                <m:t>∣</m:t>
              </m:r>
              <m:r>
                <m:rPr>
                  <m:sty m:val="p"/>
                </m:rPr>
                <m:t>¬</m:t>
              </m:r>
              <m:r>
                <m:t>D</m:t>
              </m:r>
            </m:e>
          </m:d>
          <m:r>
            <m:rPr>
              <m:sty m:val="p"/>
            </m:rPr>
            <m:t>⋅</m:t>
          </m:r>
          <m:r>
            <m:rPr>
              <m:nor/>
              <m:sty m:val="p"/>
            </m:rPr>
            <m:t>P</m:t>
          </m:r>
          <m:d>
            <m:dPr>
              <m:begChr m:val="("/>
              <m:sepChr m:val=""/>
              <m:endChr m:val=")"/>
              <m:grow/>
            </m:dPr>
            <m:e>
              <m:r>
                <m:rPr>
                  <m:sty m:val="p"/>
                </m:rPr>
                <m:t>¬</m:t>
              </m:r>
              <m:r>
                <m:t>D</m:t>
              </m:r>
            </m:e>
          </m:d>
        </m:oMath>
      </m:oMathPara>
    </w:p>
    <w:p>
      <w:r>
        <w:pict>
          <v:rect style="width:0;height:1.5pt" o:hralign="center" o:hrstd="t" o:hr="t"/>
        </w:pict>
      </w:r>
    </w:p>
    <w:p>
      <w:pPr>
        <w:pStyle w:val="FirstParagraph"/>
      </w:pPr>
      <w:r>
        <w:t xml:space="preserve">Now we can calculate each component:</w:t>
      </w:r>
    </w:p>
    <w:p>
      <w:pPr>
        <w:pStyle w:val="BodyText"/>
      </w:pPr>
      <w:r>
        <w:rPr>
          <w:b/>
          <w:bCs/>
        </w:rPr>
        <w:t xml:space="preserve">Probability of being positive with disease:</w:t>
      </w:r>
    </w:p>
    <w:p>
      <w:pPr>
        <w:pStyle w:val="BodyText"/>
      </w:pPr>
      <m:oMathPara>
        <m:oMathParaPr>
          <m:jc m:val="center"/>
        </m:oMathParaPr>
        <m:oMath>
          <m:r>
            <m:rPr>
              <m:nor/>
              <m:sty m:val="p"/>
            </m:rPr>
            <m:t>P</m:t>
          </m:r>
          <m:d>
            <m:dPr>
              <m:begChr m:val="("/>
              <m:sepChr m:val=""/>
              <m:endChr m:val=")"/>
              <m:grow/>
            </m:dPr>
            <m:e>
              <m:r>
                <m:rPr>
                  <m:sty m:val="p"/>
                </m:rPr>
                <m:t>+</m:t>
              </m:r>
              <m:r>
                <m:rPr>
                  <m:sty m:val="p"/>
                </m:rPr>
                <m:t>∣</m:t>
              </m:r>
              <m:r>
                <m:t>D</m:t>
              </m:r>
            </m:e>
          </m:d>
          <m:r>
            <m:rPr>
              <m:sty m:val="p"/>
            </m:rPr>
            <m:t>⋅</m:t>
          </m:r>
          <m:r>
            <m:rPr>
              <m:nor/>
              <m:sty m:val="p"/>
            </m:rPr>
            <m:t>P</m:t>
          </m:r>
          <m:d>
            <m:dPr>
              <m:begChr m:val="("/>
              <m:sepChr m:val=""/>
              <m:endChr m:val=")"/>
              <m:grow/>
            </m:dPr>
            <m:e>
              <m:r>
                <m:t>D</m:t>
              </m:r>
            </m:e>
          </m:d>
          <m:r>
            <m:rPr>
              <m:sty m:val="p"/>
            </m:rPr>
            <m:t>=</m:t>
          </m:r>
          <m:r>
            <m:t>0.99</m:t>
          </m:r>
          <m:r>
            <m:rPr>
              <m:sty m:val="p"/>
            </m:rPr>
            <m:t>×</m:t>
          </m:r>
          <m:r>
            <m:t>0.07</m:t>
          </m:r>
          <m:r>
            <m:rPr>
              <m:sty m:val="p"/>
            </m:rPr>
            <m:t>=</m:t>
          </m:r>
          <m:r>
            <m:t>0.0693</m:t>
          </m:r>
        </m:oMath>
      </m:oMathPara>
    </w:p>
    <w:p>
      <w:pPr>
        <w:pStyle w:val="FirstParagraph"/>
      </w:pPr>
      <w:r>
        <w:rPr>
          <w:b/>
          <w:bCs/>
        </w:rPr>
        <w:t xml:space="preserve">Probability of being positive without disease (false positive):</w:t>
      </w:r>
    </w:p>
    <w:p>
      <w:pPr>
        <w:pStyle w:val="BodyText"/>
      </w:pPr>
      <m:oMathPara>
        <m:oMathParaPr>
          <m:jc m:val="center"/>
        </m:oMathParaPr>
        <m:oMath>
          <m:r>
            <m:rPr>
              <m:nor/>
              <m:sty m:val="p"/>
            </m:rPr>
            <m:t>P</m:t>
          </m:r>
          <m:d>
            <m:dPr>
              <m:begChr m:val="("/>
              <m:sepChr m:val=""/>
              <m:endChr m:val=")"/>
              <m:grow/>
            </m:dPr>
            <m:e>
              <m:r>
                <m:rPr>
                  <m:sty m:val="p"/>
                </m:rPr>
                <m:t>+</m:t>
              </m:r>
              <m:r>
                <m:rPr>
                  <m:sty m:val="p"/>
                </m:rPr>
                <m:t>∣</m:t>
              </m:r>
              <m:r>
                <m:rPr>
                  <m:sty m:val="p"/>
                </m:rPr>
                <m:t>¬</m:t>
              </m:r>
              <m:r>
                <m:t>D</m:t>
              </m:r>
            </m:e>
          </m:d>
          <m:r>
            <m:rPr>
              <m:sty m:val="p"/>
            </m:rPr>
            <m:t>⋅</m:t>
          </m:r>
          <m:r>
            <m:rPr>
              <m:nor/>
              <m:sty m:val="p"/>
            </m:rPr>
            <m:t>P</m:t>
          </m:r>
          <m:d>
            <m:dPr>
              <m:begChr m:val="("/>
              <m:sepChr m:val=""/>
              <m:endChr m:val=")"/>
              <m:grow/>
            </m:dPr>
            <m:e>
              <m:r>
                <m:rPr>
                  <m:sty m:val="p"/>
                </m:rPr>
                <m:t>¬</m:t>
              </m:r>
              <m:r>
                <m:t>D</m:t>
              </m:r>
            </m:e>
          </m:d>
          <m:r>
            <m:rPr>
              <m:sty m:val="p"/>
            </m:rPr>
            <m:t>=</m:t>
          </m:r>
          <m:r>
            <m:t>0.01</m:t>
          </m:r>
          <m:r>
            <m:rPr>
              <m:sty m:val="p"/>
            </m:rPr>
            <m:t>×</m:t>
          </m:r>
          <m:r>
            <m:t>0.93</m:t>
          </m:r>
          <m:r>
            <m:rPr>
              <m:sty m:val="p"/>
            </m:rPr>
            <m:t>=</m:t>
          </m:r>
          <m:r>
            <m:t>0.0093</m:t>
          </m:r>
        </m:oMath>
      </m:oMathPara>
    </w:p>
    <w:p>
      <w:r>
        <w:pict>
          <v:rect style="width:0;height:1.5pt" o:hralign="center" o:hrstd="t" o:hr="t"/>
        </w:pict>
      </w:r>
    </w:p>
    <w:p>
      <w:pPr>
        <w:pStyle w:val="FirstParagraph"/>
      </w:pPr>
      <w:r>
        <w:rPr>
          <w:b/>
          <w:bCs/>
        </w:rPr>
        <w:t xml:space="preserve">Total probability of positive test:</w:t>
      </w:r>
    </w:p>
    <w:p>
      <w:pPr>
        <w:pStyle w:val="BodyText"/>
      </w:pPr>
      <m:oMathPara>
        <m:oMathParaPr>
          <m:jc m:val="center"/>
        </m:oMathParaPr>
        <m:oMath>
          <m:r>
            <m:rPr>
              <m:nor/>
              <m:sty m:val="p"/>
            </m:rPr>
            <m:t>P</m:t>
          </m:r>
          <m:d>
            <m:dPr>
              <m:begChr m:val="("/>
              <m:sepChr m:val=""/>
              <m:endChr m:val=")"/>
              <m:grow/>
            </m:dPr>
            <m:e>
              <m:r>
                <m:rPr>
                  <m:sty m:val="p"/>
                </m:rPr>
                <m:t>+</m:t>
              </m:r>
            </m:e>
          </m:d>
          <m:r>
            <m:rPr>
              <m:sty m:val="p"/>
            </m:rPr>
            <m:t>=</m:t>
          </m:r>
          <m:r>
            <m:t>0.0693</m:t>
          </m:r>
          <m:r>
            <m:rPr>
              <m:sty m:val="p"/>
            </m:rPr>
            <m:t>+</m:t>
          </m:r>
          <m:r>
            <m:t>0.0093</m:t>
          </m:r>
          <m:r>
            <m:rPr>
              <m:sty m:val="p"/>
            </m:rPr>
            <m:t>=</m:t>
          </m:r>
          <m:r>
            <m:t>0.0786</m:t>
          </m:r>
        </m:oMath>
      </m:oMathPara>
    </w:p>
    <w:p>
      <w:pPr>
        <w:pStyle w:val="FirstParagraph"/>
      </w:pPr>
      <w:r>
        <w:rPr>
          <w:b/>
          <w:bCs/>
        </w:rPr>
        <w:t xml:space="preserve">Positive predictive value:</w:t>
      </w:r>
    </w:p>
    <w:p>
      <w:pPr>
        <w:pStyle w:val="BodyText"/>
      </w:pPr>
      <m:oMathPara>
        <m:oMathParaPr>
          <m:jc m:val="center"/>
        </m:oMathParaPr>
        <m:oMath>
          <m:r>
            <m:rPr>
              <m:nor/>
              <m:sty m:val="p"/>
            </m:rPr>
            <m:t>P</m:t>
          </m:r>
          <m:d>
            <m:dPr>
              <m:begChr m:val="("/>
              <m:sepChr m:val=""/>
              <m:endChr m:val=")"/>
              <m:grow/>
            </m:dPr>
            <m:e>
              <m:r>
                <m:t>D</m:t>
              </m:r>
              <m:r>
                <m:rPr>
                  <m:sty m:val="p"/>
                </m:rPr>
                <m:t>∣</m:t>
              </m:r>
              <m:r>
                <m:rPr>
                  <m:sty m:val="p"/>
                </m:rPr>
                <m:t>+</m:t>
              </m:r>
            </m:e>
          </m:d>
          <m:r>
            <m:rPr>
              <m:sty m:val="p"/>
            </m:rPr>
            <m:t>=</m:t>
          </m:r>
          <m:f>
            <m:fPr>
              <m:type m:val="bar"/>
            </m:fPr>
            <m:num>
              <m:r>
                <m:t>0.0693</m:t>
              </m:r>
            </m:num>
            <m:den>
              <m:r>
                <m:t>0.0786</m:t>
              </m:r>
            </m:den>
          </m:f>
          <m:r>
            <m:rPr>
              <m:sty m:val="p"/>
            </m:rPr>
            <m:t>=</m:t>
          </m:r>
          <m:r>
            <m:t>0.88</m:t>
          </m:r>
        </m:oMath>
      </m:oMathPara>
    </w:p>
    <w:p>
      <w:r>
        <w:pict>
          <v:rect style="width:0;height:1.5pt" o:hralign="center" o:hrstd="t" o:hr="t"/>
        </w:pict>
      </w:r>
    </w:p>
    <w:p>
      <w:pPr>
        <w:pStyle w:val="FirstParagraph"/>
      </w:pPr>
      <w:r>
        <w:t xml:space="preserve">Therefore, even with a highly accurate test (99% sensitive and 99% specific), only about 88% of people who test positive actually have COVID-19.</w:t>
      </w:r>
      <w:r>
        <w:t xml:space="preserve"> </w:t>
      </w:r>
      <w:r>
        <w:t xml:space="preserve">This is because the disease prevalence is relatively low (7%), so false positives make up a meaningful fraction of all positive tests.</w:t>
      </w:r>
    </w:p>
    <w:p>
      <w:pPr>
        <w:pStyle w:val="BodyText"/>
      </w:pPr>
      <w:r>
        <w:t xml:space="preserve">This counterintuitive result demonstrates the importance of considering disease prevalence when interpreting test results.</w:t>
      </w:r>
      <w:r>
        <w:t xml:space="preserve"> </w:t>
      </w:r>
      <w:r>
        <w:t xml:space="preserve">Even highly accurate tests can have relatively low positive predictive values when the disease is rare.</w:t>
      </w:r>
    </w:p>
    <w:p>
      <w:r>
        <w:pict>
          <v:rect style="width:0;height:1.5pt" o:hralign="center" o:hrstd="t" o:hr="t"/>
        </w:pict>
      </w:r>
    </w:p>
    <w:bookmarkEnd w:id="17"/>
    <w:bookmarkStart w:id="18" w:name="alternative-formulation"/>
    <w:p>
      <w:pPr>
        <w:pStyle w:val="Heading2"/>
      </w:pPr>
      <w:r>
        <w:t xml:space="preserve">4 Alternative formulation</w:t>
      </w:r>
    </w:p>
    <w:p>
      <w:pPr>
        <w:pStyle w:val="FirstParagraph"/>
      </w:pPr>
      <w:r>
        <w:t xml:space="preserve">We can rearrange Bayes’ theorem to express the positive predictive value in terms of the sensitivity, specificity, and disease prevalence:</w:t>
      </w:r>
    </w:p>
    <w:p>
      <w:pPr>
        <w:pStyle w:val="BodyText"/>
      </w:pPr>
      <m:oMathPara>
        <m:oMathParaPr>
          <m:jc m:val="center"/>
        </m:oMathParaPr>
        <m:oMath>
          <m:eqArr>
            <m:e>
              <m:r>
                <m:rPr>
                  <m:nor/>
                  <m:sty m:val="p"/>
                </m:rPr>
                <m:t>P</m:t>
              </m:r>
              <m:d>
                <m:dPr>
                  <m:begChr m:val="("/>
                  <m:sepChr m:val=""/>
                  <m:endChr m:val=")"/>
                  <m:grow/>
                </m:dPr>
                <m:e>
                  <m:r>
                    <m:t>D</m:t>
                  </m:r>
                  <m:r>
                    <m:rPr>
                      <m:sty m:val="p"/>
                    </m:rPr>
                    <m:t>∣</m:t>
                  </m:r>
                  <m:r>
                    <m:rPr>
                      <m:sty m:val="p"/>
                    </m:rPr>
                    <m:t>+</m:t>
                  </m:r>
                </m:e>
              </m:d>
              <m:r>
                <m:t>&amp;</m:t>
              </m:r>
              <m:r>
                <m:rPr>
                  <m:sty m:val="p"/>
                </m:rPr>
                <m:t>=</m:t>
              </m:r>
              <m:f>
                <m:fPr>
                  <m:type m:val="bar"/>
                </m:fPr>
                <m:num>
                  <m:r>
                    <m:rPr>
                      <m:nor/>
                      <m:sty m:val="p"/>
                    </m:rPr>
                    <m:t>P</m:t>
                  </m:r>
                  <m:d>
                    <m:dPr>
                      <m:begChr m:val="("/>
                      <m:sepChr m:val=""/>
                      <m:endChr m:val=")"/>
                      <m:grow/>
                    </m:dPr>
                    <m:e>
                      <m:r>
                        <m:rPr>
                          <m:sty m:val="p"/>
                        </m:rPr>
                        <m:t>+</m:t>
                      </m:r>
                      <m:r>
                        <m:rPr>
                          <m:sty m:val="p"/>
                        </m:rPr>
                        <m:t>∣</m:t>
                      </m:r>
                      <m:r>
                        <m:t>D</m:t>
                      </m:r>
                    </m:e>
                  </m:d>
                  <m:r>
                    <m:rPr>
                      <m:sty m:val="p"/>
                    </m:rPr>
                    <m:t>⋅</m:t>
                  </m:r>
                  <m:r>
                    <m:rPr>
                      <m:nor/>
                      <m:sty m:val="p"/>
                    </m:rPr>
                    <m:t>P</m:t>
                  </m:r>
                  <m:d>
                    <m:dPr>
                      <m:begChr m:val="("/>
                      <m:sepChr m:val=""/>
                      <m:endChr m:val=")"/>
                      <m:grow/>
                    </m:dPr>
                    <m:e>
                      <m:r>
                        <m:t>D</m:t>
                      </m:r>
                    </m:e>
                  </m:d>
                </m:num>
                <m:den>
                  <m:r>
                    <m:rPr>
                      <m:nor/>
                      <m:sty m:val="p"/>
                    </m:rPr>
                    <m:t>P</m:t>
                  </m:r>
                  <m:d>
                    <m:dPr>
                      <m:begChr m:val="("/>
                      <m:sepChr m:val=""/>
                      <m:endChr m:val=")"/>
                      <m:grow/>
                    </m:dPr>
                    <m:e>
                      <m:r>
                        <m:rPr>
                          <m:sty m:val="p"/>
                        </m:rPr>
                        <m:t>+</m:t>
                      </m:r>
                    </m:e>
                  </m:d>
                </m:den>
              </m:f>
            </m:e>
            <m:e>
              <m:r>
                <m:t>&amp;</m:t>
              </m:r>
              <m:r>
                <m:rPr>
                  <m:sty m:val="p"/>
                </m:rPr>
                <m:t>=</m:t>
              </m:r>
              <m:f>
                <m:fPr>
                  <m:type m:val="bar"/>
                </m:fPr>
                <m:num>
                  <m:r>
                    <m:rPr>
                      <m:nor/>
                      <m:sty m:val="p"/>
                    </m:rPr>
                    <m:t>P</m:t>
                  </m:r>
                  <m:d>
                    <m:dPr>
                      <m:begChr m:val="("/>
                      <m:sepChr m:val=""/>
                      <m:endChr m:val=")"/>
                      <m:grow/>
                    </m:dPr>
                    <m:e>
                      <m:r>
                        <m:rPr>
                          <m:sty m:val="p"/>
                        </m:rPr>
                        <m:t>+</m:t>
                      </m:r>
                      <m:r>
                        <m:rPr>
                          <m:sty m:val="p"/>
                        </m:rPr>
                        <m:t>∣</m:t>
                      </m:r>
                      <m:r>
                        <m:t>D</m:t>
                      </m:r>
                    </m:e>
                  </m:d>
                  <m:r>
                    <m:rPr>
                      <m:sty m:val="p"/>
                    </m:rPr>
                    <m:t>⋅</m:t>
                  </m:r>
                  <m:r>
                    <m:rPr>
                      <m:nor/>
                      <m:sty m:val="p"/>
                    </m:rPr>
                    <m:t>P</m:t>
                  </m:r>
                  <m:d>
                    <m:dPr>
                      <m:begChr m:val="("/>
                      <m:sepChr m:val=""/>
                      <m:endChr m:val=")"/>
                      <m:grow/>
                    </m:dPr>
                    <m:e>
                      <m:r>
                        <m:t>D</m:t>
                      </m:r>
                    </m:e>
                  </m:d>
                </m:num>
                <m:den>
                  <m:r>
                    <m:rPr>
                      <m:nor/>
                      <m:sty m:val="p"/>
                    </m:rPr>
                    <m:t>P</m:t>
                  </m:r>
                  <m:d>
                    <m:dPr>
                      <m:begChr m:val="("/>
                      <m:sepChr m:val=""/>
                      <m:endChr m:val=")"/>
                      <m:grow/>
                    </m:dPr>
                    <m:e>
                      <m:r>
                        <m:rPr>
                          <m:sty m:val="p"/>
                        </m:rPr>
                        <m:t>+</m:t>
                      </m:r>
                      <m:r>
                        <m:rPr>
                          <m:sty m:val="p"/>
                        </m:rPr>
                        <m:t>∣</m:t>
                      </m:r>
                      <m:r>
                        <m:t>D</m:t>
                      </m:r>
                    </m:e>
                  </m:d>
                  <m:r>
                    <m:rPr>
                      <m:sty m:val="p"/>
                    </m:rPr>
                    <m:t>⋅</m:t>
                  </m:r>
                  <m:r>
                    <m:rPr>
                      <m:nor/>
                      <m:sty m:val="p"/>
                    </m:rPr>
                    <m:t>P</m:t>
                  </m:r>
                  <m:d>
                    <m:dPr>
                      <m:begChr m:val="("/>
                      <m:sepChr m:val=""/>
                      <m:endChr m:val=")"/>
                      <m:grow/>
                    </m:dPr>
                    <m:e>
                      <m:r>
                        <m:t>D</m:t>
                      </m:r>
                    </m:e>
                  </m:d>
                  <m:r>
                    <m:rPr>
                      <m:sty m:val="p"/>
                    </m:rPr>
                    <m:t>+</m:t>
                  </m:r>
                  <m:r>
                    <m:rPr>
                      <m:nor/>
                      <m:sty m:val="p"/>
                    </m:rPr>
                    <m:t>P</m:t>
                  </m:r>
                  <m:d>
                    <m:dPr>
                      <m:begChr m:val="("/>
                      <m:sepChr m:val=""/>
                      <m:endChr m:val=")"/>
                      <m:grow/>
                    </m:dPr>
                    <m:e>
                      <m:r>
                        <m:rPr>
                          <m:sty m:val="p"/>
                        </m:rPr>
                        <m:t>+</m:t>
                      </m:r>
                      <m:r>
                        <m:rPr>
                          <m:sty m:val="p"/>
                        </m:rPr>
                        <m:t>∣</m:t>
                      </m:r>
                      <m:r>
                        <m:rPr>
                          <m:sty m:val="p"/>
                        </m:rPr>
                        <m:t>¬</m:t>
                      </m:r>
                      <m:r>
                        <m:t>D</m:t>
                      </m:r>
                    </m:e>
                  </m:d>
                  <m:r>
                    <m:rPr>
                      <m:sty m:val="p"/>
                    </m:rPr>
                    <m:t>⋅</m:t>
                  </m:r>
                  <m:r>
                    <m:rPr>
                      <m:nor/>
                      <m:sty m:val="p"/>
                    </m:rPr>
                    <m:t>P</m:t>
                  </m:r>
                  <m:d>
                    <m:dPr>
                      <m:begChr m:val="("/>
                      <m:sepChr m:val=""/>
                      <m:endChr m:val=")"/>
                      <m:grow/>
                    </m:dPr>
                    <m:e>
                      <m:r>
                        <m:rPr>
                          <m:sty m:val="p"/>
                        </m:rPr>
                        <m:t>¬</m:t>
                      </m:r>
                      <m:r>
                        <m:t>D</m:t>
                      </m:r>
                    </m:e>
                  </m:d>
                </m:den>
              </m:f>
            </m:e>
            <m:e>
              <m:r>
                <m:t>&amp;</m:t>
              </m:r>
              <m:r>
                <m:rPr>
                  <m:sty m:val="p"/>
                </m:rPr>
                <m:t>=</m:t>
              </m:r>
              <m:f>
                <m:fPr>
                  <m:type m:val="bar"/>
                </m:fPr>
                <m:num>
                  <m:r>
                    <m:rPr>
                      <m:nor/>
                      <m:sty m:val="p"/>
                    </m:rPr>
                    <m:t>P</m:t>
                  </m:r>
                  <m:d>
                    <m:dPr>
                      <m:begChr m:val="("/>
                      <m:sepChr m:val=""/>
                      <m:endChr m:val=")"/>
                      <m:grow/>
                    </m:dPr>
                    <m:e>
                      <m:r>
                        <m:t>D</m:t>
                      </m:r>
                    </m:e>
                  </m:d>
                </m:num>
                <m:den>
                  <m:r>
                    <m:rPr>
                      <m:nor/>
                      <m:sty m:val="p"/>
                    </m:rPr>
                    <m:t>P</m:t>
                  </m:r>
                  <m:d>
                    <m:dPr>
                      <m:begChr m:val="("/>
                      <m:sepChr m:val=""/>
                      <m:endChr m:val=")"/>
                      <m:grow/>
                    </m:dPr>
                    <m:e>
                      <m:r>
                        <m:t>D</m:t>
                      </m:r>
                    </m:e>
                  </m:d>
                  <m:r>
                    <m:rPr>
                      <m:sty m:val="p"/>
                    </m:rPr>
                    <m:t>+</m:t>
                  </m:r>
                  <m:f>
                    <m:fPr>
                      <m:type m:val="bar"/>
                    </m:fPr>
                    <m:num>
                      <m:r>
                        <m:rPr>
                          <m:nor/>
                          <m:sty m:val="p"/>
                        </m:rPr>
                        <m:t>P</m:t>
                      </m:r>
                      <m:d>
                        <m:dPr>
                          <m:begChr m:val="("/>
                          <m:sepChr m:val=""/>
                          <m:endChr m:val=")"/>
                          <m:grow/>
                        </m:dPr>
                        <m:e>
                          <m:r>
                            <m:rPr>
                              <m:sty m:val="p"/>
                            </m:rPr>
                            <m:t>+</m:t>
                          </m:r>
                          <m:r>
                            <m:rPr>
                              <m:sty m:val="p"/>
                            </m:rPr>
                            <m:t>∣</m:t>
                          </m:r>
                          <m:r>
                            <m:rPr>
                              <m:sty m:val="p"/>
                            </m:rPr>
                            <m:t>¬</m:t>
                          </m:r>
                          <m:r>
                            <m:t>D</m:t>
                          </m:r>
                        </m:e>
                      </m:d>
                    </m:num>
                    <m:den>
                      <m:r>
                        <m:rPr>
                          <m:nor/>
                          <m:sty m:val="p"/>
                        </m:rPr>
                        <m:t>P</m:t>
                      </m:r>
                      <m:d>
                        <m:dPr>
                          <m:begChr m:val="("/>
                          <m:sepChr m:val=""/>
                          <m:endChr m:val=")"/>
                          <m:grow/>
                        </m:dPr>
                        <m:e>
                          <m:r>
                            <m:rPr>
                              <m:sty m:val="p"/>
                            </m:rPr>
                            <m:t>+</m:t>
                          </m:r>
                          <m:r>
                            <m:rPr>
                              <m:sty m:val="p"/>
                            </m:rPr>
                            <m:t>∣</m:t>
                          </m:r>
                          <m:r>
                            <m:t>D</m:t>
                          </m:r>
                        </m:e>
                      </m:d>
                    </m:den>
                  </m:f>
                  <m:r>
                    <m:rPr>
                      <m:sty m:val="p"/>
                    </m:rPr>
                    <m:t>⋅</m:t>
                  </m:r>
                  <m:r>
                    <m:rPr>
                      <m:nor/>
                      <m:sty m:val="p"/>
                    </m:rPr>
                    <m:t>P</m:t>
                  </m:r>
                  <m:d>
                    <m:dPr>
                      <m:begChr m:val="("/>
                      <m:sepChr m:val=""/>
                      <m:endChr m:val=")"/>
                      <m:grow/>
                    </m:dPr>
                    <m:e>
                      <m:r>
                        <m:rPr>
                          <m:sty m:val="p"/>
                        </m:rPr>
                        <m:t>¬</m:t>
                      </m:r>
                      <m:r>
                        <m:t>D</m:t>
                      </m:r>
                    </m:e>
                  </m:d>
                </m:den>
              </m:f>
            </m:e>
            <m:e>
              <m:r>
                <m:t>&amp;</m:t>
              </m:r>
              <m:r>
                <m:rPr>
                  <m:sty m:val="p"/>
                </m:rPr>
                <m:t>=</m:t>
              </m:r>
              <m:f>
                <m:fPr>
                  <m:type m:val="bar"/>
                </m:fPr>
                <m:num>
                  <m:r>
                    <m:t>1</m:t>
                  </m:r>
                </m:num>
                <m:den>
                  <m:r>
                    <m:t>1</m:t>
                  </m:r>
                  <m:r>
                    <m:rPr>
                      <m:sty m:val="p"/>
                    </m:rPr>
                    <m:t>+</m:t>
                  </m:r>
                  <m:f>
                    <m:fPr>
                      <m:type m:val="bar"/>
                    </m:fPr>
                    <m:num>
                      <m:r>
                        <m:rPr>
                          <m:nor/>
                          <m:sty m:val="p"/>
                        </m:rPr>
                        <m:t>P</m:t>
                      </m:r>
                      <m:d>
                        <m:dPr>
                          <m:begChr m:val="("/>
                          <m:sepChr m:val=""/>
                          <m:endChr m:val=")"/>
                          <m:grow/>
                        </m:dPr>
                        <m:e>
                          <m:r>
                            <m:rPr>
                              <m:sty m:val="p"/>
                            </m:rPr>
                            <m:t>+</m:t>
                          </m:r>
                          <m:r>
                            <m:rPr>
                              <m:sty m:val="p"/>
                            </m:rPr>
                            <m:t>∣</m:t>
                          </m:r>
                          <m:r>
                            <m:rPr>
                              <m:sty m:val="p"/>
                            </m:rPr>
                            <m:t>¬</m:t>
                          </m:r>
                          <m:r>
                            <m:t>D</m:t>
                          </m:r>
                        </m:e>
                      </m:d>
                    </m:num>
                    <m:den>
                      <m:r>
                        <m:rPr>
                          <m:nor/>
                          <m:sty m:val="p"/>
                        </m:rPr>
                        <m:t>P</m:t>
                      </m:r>
                      <m:d>
                        <m:dPr>
                          <m:begChr m:val="("/>
                          <m:sepChr m:val=""/>
                          <m:endChr m:val=")"/>
                          <m:grow/>
                        </m:dPr>
                        <m:e>
                          <m:r>
                            <m:rPr>
                              <m:sty m:val="p"/>
                            </m:rPr>
                            <m:t>+</m:t>
                          </m:r>
                          <m:r>
                            <m:rPr>
                              <m:sty m:val="p"/>
                            </m:rPr>
                            <m:t>∣</m:t>
                          </m:r>
                          <m:r>
                            <m:t>D</m:t>
                          </m:r>
                        </m:e>
                      </m:d>
                    </m:den>
                  </m:f>
                  <m:r>
                    <m:rPr>
                      <m:sty m:val="p"/>
                    </m:rPr>
                    <m:t>⋅</m:t>
                  </m:r>
                  <m:f>
                    <m:fPr>
                      <m:type m:val="bar"/>
                    </m:fPr>
                    <m:num>
                      <m:r>
                        <m:rPr>
                          <m:nor/>
                          <m:sty m:val="p"/>
                        </m:rPr>
                        <m:t>P</m:t>
                      </m:r>
                      <m:d>
                        <m:dPr>
                          <m:begChr m:val="("/>
                          <m:sepChr m:val=""/>
                          <m:endChr m:val=")"/>
                          <m:grow/>
                        </m:dPr>
                        <m:e>
                          <m:r>
                            <m:rPr>
                              <m:sty m:val="p"/>
                            </m:rPr>
                            <m:t>¬</m:t>
                          </m:r>
                          <m:r>
                            <m:t>D</m:t>
                          </m:r>
                        </m:e>
                      </m:d>
                    </m:num>
                    <m:den>
                      <m:r>
                        <m:rPr>
                          <m:nor/>
                          <m:sty m:val="p"/>
                        </m:rPr>
                        <m:t>P</m:t>
                      </m:r>
                      <m:d>
                        <m:dPr>
                          <m:begChr m:val="("/>
                          <m:sepChr m:val=""/>
                          <m:endChr m:val=")"/>
                          <m:grow/>
                        </m:dPr>
                        <m:e>
                          <m:r>
                            <m:t>D</m:t>
                          </m:r>
                        </m:e>
                      </m:d>
                    </m:den>
                  </m:f>
                </m:den>
              </m:f>
            </m:e>
            <m:e>
              <m:r>
                <m:t>&amp;</m:t>
              </m:r>
              <m:r>
                <m:rPr>
                  <m:sty m:val="p"/>
                </m:rPr>
                <m:t>=</m:t>
              </m:r>
              <m:f>
                <m:fPr>
                  <m:type m:val="bar"/>
                </m:fPr>
                <m:num>
                  <m:r>
                    <m:t>1</m:t>
                  </m:r>
                </m:num>
                <m:den>
                  <m:r>
                    <m:t>1</m:t>
                  </m:r>
                  <m:r>
                    <m:rPr>
                      <m:sty m:val="p"/>
                    </m:rPr>
                    <m:t>+</m:t>
                  </m:r>
                  <m:f>
                    <m:fPr>
                      <m:type m:val="bar"/>
                    </m:fPr>
                    <m:num>
                      <m:r>
                        <m:t>1</m:t>
                      </m:r>
                      <m:r>
                        <m:rPr>
                          <m:sty m:val="p"/>
                        </m:rPr>
                        <m:t>−</m:t>
                      </m:r>
                      <m:r>
                        <m:rPr>
                          <m:nor/>
                          <m:sty m:val="p"/>
                        </m:rPr>
                        <m:t>spec</m:t>
                      </m:r>
                    </m:num>
                    <m:den>
                      <m:r>
                        <m:rPr>
                          <m:nor/>
                          <m:sty m:val="p"/>
                        </m:rPr>
                        <m:t>sens</m:t>
                      </m:r>
                    </m:den>
                  </m:f>
                  <m:r>
                    <m:rPr>
                      <m:sty m:val="p"/>
                    </m:rPr>
                    <m:t>⋅</m:t>
                  </m:r>
                  <m:f>
                    <m:fPr>
                      <m:type m:val="bar"/>
                    </m:fPr>
                    <m:num>
                      <m:r>
                        <m:t>1</m:t>
                      </m:r>
                      <m:r>
                        <m:rPr>
                          <m:sty m:val="p"/>
                        </m:rPr>
                        <m:t>−</m:t>
                      </m:r>
                      <m:r>
                        <m:rPr>
                          <m:nor/>
                          <m:sty m:val="p"/>
                        </m:rPr>
                        <m:t>prev</m:t>
                      </m:r>
                    </m:num>
                    <m:den>
                      <m:r>
                        <m:rPr>
                          <m:nor/>
                          <m:sty m:val="p"/>
                        </m:rPr>
                        <m:t>prev</m:t>
                      </m:r>
                    </m:den>
                  </m:f>
                </m:den>
              </m:f>
            </m:e>
          </m:eqArr>
        </m:oMath>
      </m:oMathPara>
    </w:p>
    <w:p>
      <w:r>
        <w:pict>
          <v:rect style="width:0;height:1.5pt" o:hralign="center" o:hrstd="t" o:hr="t"/>
        </w:pict>
      </w:r>
    </w:p>
    <w:p>
      <w:pPr>
        <w:pStyle w:val="FirstParagraph"/>
      </w:pPr>
      <w:r>
        <w:t xml:space="preserve">This final form emphasizes the ratio of the false positive rate to the sensitivity, weighted by the ratio of non-diseased to diseased individuals in the population.</w:t>
      </w:r>
      <w:r>
        <w:t xml:space="preserve"> </w:t>
      </w:r>
      <w:r>
        <w:t xml:space="preserve">It shows that even with a very high sensitivity and specificity, the positive predictive value depends strongly on disease prevalence.</w:t>
      </w:r>
    </w:p>
    <w:p>
      <w:pPr>
        <w:pStyle w:val="BodyText"/>
      </w:pPr>
      <w:r>
        <w:t xml:space="preserve">This algebraic form is useful for understanding how the different parameters interact.</w:t>
      </w:r>
      <w:r>
        <w:t xml:space="preserve"> </w:t>
      </w:r>
      <w:r>
        <w:t xml:space="preserve">Notice how the prevalence ratio</w:t>
      </w:r>
      <w:r>
        <w:t xml:space="preserve"> </w:t>
      </w:r>
      <m:oMath>
        <m:r>
          <m:rPr>
            <m:nor/>
            <m:sty m:val="p"/>
          </m:rPr>
          <m:t>P</m:t>
        </m:r>
        <m:d>
          <m:dPr>
            <m:begChr m:val="("/>
            <m:sepChr m:val=""/>
            <m:endChr m:val=")"/>
            <m:grow/>
          </m:dPr>
          <m:e>
            <m:r>
              <m:rPr>
                <m:sty m:val="p"/>
              </m:rPr>
              <m:t>¬</m:t>
            </m:r>
            <m:r>
              <m:t>D</m:t>
            </m:r>
          </m:e>
        </m:d>
        <m:r>
          <m:rPr>
            <m:sty m:val="p"/>
          </m:rPr>
          <m:t>/</m:t>
        </m:r>
        <m:r>
          <m:rPr>
            <m:nor/>
            <m:sty m:val="p"/>
          </m:rPr>
          <m:t>P</m:t>
        </m:r>
        <m:d>
          <m:dPr>
            <m:begChr m:val="("/>
            <m:sepChr m:val=""/>
            <m:endChr m:val=")"/>
            <m:grow/>
          </m:dPr>
          <m:e>
            <m:r>
              <m:t>D</m:t>
            </m:r>
          </m:e>
        </m:d>
      </m:oMath>
      <w:r>
        <w:t xml:space="preserve"> </w:t>
      </w:r>
      <w:r>
        <w:t xml:space="preserve">appears explicitly in the denominator.</w:t>
      </w:r>
      <w:r>
        <w:t xml:space="preserve"> </w:t>
      </w:r>
      <w:r>
        <w:t xml:space="preserve">When the disease is rare, this ratio is large, which reduces the positive predictive value.</w:t>
      </w:r>
    </w:p>
    <w:bookmarkEnd w:id="18"/>
    <w:sectPr>
      <w:footnotePr>
        <w:numRestart w:val="eachSect"/>
      </w:footnotePr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abstractNum w:abstractNumId="991">
    <w:nsid w:val="0000A991"/>
    <w:multiLevelType w:val="multilevel"/>
    <w:lvl w:ilvl="0"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000">
    <w:abstractNumId w:val="990"/>
  </w:num>
  <w:num w:numId="1001">
    <w:abstractNumId w:val="991"/>
  </w:num>
  <w:num w:numId="1002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100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</w:rsids>
  <w:themeFontLang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zh-CN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link w:val="TitleChar"/>
    <w:uiPriority w:val="10"/>
    <w:qFormat/>
    <w:rsid w:val="00A10FD9"/>
    <w:pPr>
      <w:spacing w:after="80" w:line="240" w:lineRule="auto"/>
      <w:contextualSpacing/>
      <w:jc w:val="center"/>
    </w:pPr>
    <w:rPr>
      <w:rFonts w:asciiTheme="majorHAnsi" w:cstheme="majorBidi" w:eastAsiaTheme="majorEastAsia" w:hAnsiTheme="majorHAnsi"/>
      <w:sz w:val="56"/>
      <w:szCs w:val="56"/>
    </w:rPr>
  </w:style>
  <w:style w:customStyle="1" w:styleId="TitleChar" w:type="character">
    <w:name w:val="Title Char"/>
    <w:basedOn w:val="DefaultParagraphFont"/>
    <w:link w:val="Title"/>
    <w:uiPriority w:val="10"/>
    <w:rsid w:val="00A10FD9"/>
    <w:rPr>
      <w:rFonts w:asciiTheme="majorHAnsi" w:cstheme="majorBidi" w:eastAsiaTheme="majorEastAsia" w:hAnsiTheme="majorHAnsi"/>
      <w:sz w:val="56"/>
      <w:szCs w:val="56"/>
    </w:rPr>
  </w:style>
  <w:style w:styleId="Subtitle" w:type="paragraph">
    <w:name w:val="Subtitle"/>
    <w:basedOn w:val="Title"/>
    <w:next w:val="BodyText"/>
    <w:link w:val="SubtitleChar"/>
    <w:uiPriority w:val="11"/>
    <w:qFormat/>
    <w:rsid w:val="00A10FD9"/>
    <w:pPr>
      <w:numPr>
        <w:ilvl w:val="1"/>
      </w:numPr>
    </w:pPr>
    <w:rPr>
      <w:rFonts w:cstheme="majorBidi" w:eastAsiaTheme="majorEastAsia"/>
      <w:spacing w:val="15"/>
      <w:sz w:val="28"/>
      <w:szCs w:val="28"/>
    </w:rPr>
  </w:style>
  <w:style w:customStyle="1" w:styleId="SubtitleChar" w:type="character">
    <w:name w:val="Subtitle Char"/>
    <w:basedOn w:val="DefaultParagraphFont"/>
    <w:link w:val="Subtitle"/>
    <w:uiPriority w:val="11"/>
    <w:rsid w:val="00A10FD9"/>
    <w:rPr>
      <w:rFonts w:cstheme="majorBidi" w:eastAsiaTheme="majorEastAsia"/>
      <w:color w:themeColor="text1" w:themeTint="A6" w:val="595959"/>
      <w:spacing w:val="15"/>
      <w:sz w:val="28"/>
      <w:szCs w:val="28"/>
    </w:rPr>
  </w:style>
  <w:style w:customStyle="1" w:styleId="Author" w:type="paragraph">
    <w:name w:val="Author"/>
    <w:basedOn w:val="Title"/>
    <w:next w:val="BodyText"/>
    <w:qFormat/>
    <w:pPr>
      <w:keepNext/>
      <w:keepLines/>
    </w:pPr>
    <w:rPr>
      <w:sz w:val="24"/>
      <w:szCs w:val="24"/>
    </w:rPr>
  </w:style>
  <w:style w:styleId="Date" w:type="paragraph">
    <w:name w:val="Date"/>
    <w:basedOn w:val="Title"/>
    <w:next w:val="BodyText"/>
    <w:qFormat/>
    <w:pPr>
      <w:keepNext/>
      <w:keepLines/>
    </w:pPr>
    <w:rPr>
      <w:sz w:val="24"/>
      <w:szCs w:val="24"/>
    </w:rPr>
  </w:style>
  <w:style w:customStyle="1" w:styleId="AbstractTitle" w:type="paragraph">
    <w:name w:val="Abstract Title"/>
    <w:basedOn w:val="Normal"/>
    <w:next w:val="Abstract"/>
    <w:qFormat/>
    <w:pPr>
      <w:keepNext/>
      <w:keepLines/>
      <w:spacing w:after="0" w:before="300"/>
      <w:jc w:val="center"/>
    </w:pPr>
    <w:rPr>
      <w:b/>
      <w:sz w:val="20"/>
      <w:szCs w:val="20"/>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link w:val="Heading1Char"/>
    <w:uiPriority w:val="9"/>
    <w:qFormat/>
    <w:rsid w:val="00A10FD9"/>
    <w:pPr>
      <w:keepNext/>
      <w:keepLines/>
      <w:spacing w:after="80" w:before="360"/>
      <w:outlineLvl w:val="0"/>
    </w:pPr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styleId="Heading2" w:type="paragraph">
    <w:name w:val="heading 2"/>
    <w:basedOn w:val="Normal"/>
    <w:next w:val="BodyText"/>
    <w:link w:val="Heading2Char"/>
    <w:uiPriority w:val="9"/>
    <w:semiHidden/>
    <w:unhideWhenUsed/>
    <w:qFormat/>
    <w:rsid w:val="00A10FD9"/>
    <w:pPr>
      <w:keepNext/>
      <w:keepLines/>
      <w:spacing w:after="80" w:before="160"/>
      <w:outlineLvl w:val="1"/>
    </w:pPr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styleId="Heading3" w:type="paragraph">
    <w:name w:val="heading 3"/>
    <w:basedOn w:val="Normal"/>
    <w:next w:val="BodyText"/>
    <w:link w:val="Heading3Char"/>
    <w:uiPriority w:val="9"/>
    <w:semiHidden/>
    <w:unhideWhenUsed/>
    <w:qFormat/>
    <w:rsid w:val="00A10FD9"/>
    <w:pPr>
      <w:keepNext/>
      <w:keepLines/>
      <w:spacing w:after="80" w:before="160"/>
      <w:outlineLvl w:val="2"/>
    </w:pPr>
    <w:rPr>
      <w:rFonts w:cstheme="majorBidi" w:eastAsiaTheme="majorEastAsia"/>
      <w:color w:themeColor="accent1" w:themeShade="BF" w:val="0F4761"/>
      <w:sz w:val="28"/>
      <w:szCs w:val="28"/>
    </w:rPr>
  </w:style>
  <w:style w:styleId="Heading4" w:type="paragraph">
    <w:name w:val="heading 4"/>
    <w:basedOn w:val="Normal"/>
    <w:next w:val="BodyText"/>
    <w:link w:val="Heading4Char"/>
    <w:uiPriority w:val="9"/>
    <w:semiHidden/>
    <w:unhideWhenUsed/>
    <w:qFormat/>
    <w:rsid w:val="00A10FD9"/>
    <w:pPr>
      <w:keepNext/>
      <w:keepLines/>
      <w:spacing w:after="40" w:before="80"/>
      <w:outlineLvl w:val="3"/>
    </w:pPr>
    <w:rPr>
      <w:rFonts w:cstheme="majorBidi" w:eastAsiaTheme="majorEastAsia"/>
      <w:i/>
      <w:iCs/>
      <w:color w:themeColor="accent1" w:themeShade="BF" w:val="0F4761"/>
    </w:rPr>
  </w:style>
  <w:style w:styleId="Heading5" w:type="paragraph">
    <w:name w:val="heading 5"/>
    <w:basedOn w:val="Normal"/>
    <w:next w:val="BodyText"/>
    <w:link w:val="Heading5Char"/>
    <w:uiPriority w:val="9"/>
    <w:semiHidden/>
    <w:unhideWhenUsed/>
    <w:qFormat/>
    <w:rsid w:val="00A10FD9"/>
    <w:pPr>
      <w:keepNext/>
      <w:keepLines/>
      <w:spacing w:after="40" w:before="80"/>
      <w:outlineLvl w:val="4"/>
    </w:pPr>
    <w:rPr>
      <w:rFonts w:cstheme="majorBidi" w:eastAsiaTheme="majorEastAsia"/>
      <w:color w:themeColor="accent1" w:themeShade="BF" w:val="0F4761"/>
    </w:rPr>
  </w:style>
  <w:style w:styleId="Heading6" w:type="paragraph">
    <w:name w:val="heading 6"/>
    <w:basedOn w:val="Normal"/>
    <w:next w:val="BodyText"/>
    <w:link w:val="Heading6Char"/>
    <w:uiPriority w:val="9"/>
    <w:semiHidden/>
    <w:unhideWhenUsed/>
    <w:qFormat/>
    <w:rsid w:val="00A10FD9"/>
    <w:pPr>
      <w:keepNext/>
      <w:keepLines/>
      <w:spacing w:after="0" w:before="40"/>
      <w:outlineLvl w:val="5"/>
    </w:pPr>
    <w:rPr>
      <w:rFonts w:cstheme="majorBidi" w:eastAsiaTheme="majorEastAsia"/>
      <w:i/>
      <w:iCs/>
      <w:color w:themeColor="text1" w:themeTint="A6" w:val="595959"/>
    </w:rPr>
  </w:style>
  <w:style w:styleId="Heading7" w:type="paragraph">
    <w:name w:val="heading 7"/>
    <w:basedOn w:val="Normal"/>
    <w:next w:val="BodyText"/>
    <w:link w:val="Heading7Char"/>
    <w:uiPriority w:val="9"/>
    <w:semiHidden/>
    <w:unhideWhenUsed/>
    <w:qFormat/>
    <w:rsid w:val="00A10FD9"/>
    <w:pPr>
      <w:keepNext/>
      <w:keepLines/>
      <w:spacing w:after="0" w:before="40"/>
      <w:outlineLvl w:val="6"/>
    </w:pPr>
    <w:rPr>
      <w:rFonts w:cstheme="majorBidi" w:eastAsiaTheme="majorEastAsia"/>
      <w:color w:themeColor="text1" w:themeTint="A6" w:val="595959"/>
    </w:rPr>
  </w:style>
  <w:style w:styleId="Heading8" w:type="paragraph">
    <w:name w:val="heading 8"/>
    <w:basedOn w:val="Normal"/>
    <w:next w:val="BodyText"/>
    <w:link w:val="Heading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cstheme="majorBidi" w:eastAsiaTheme="majorEastAsia"/>
      <w:i/>
      <w:iCs/>
      <w:color w:themeColor="text1" w:themeTint="D8" w:val="272727"/>
    </w:rPr>
  </w:style>
  <w:style w:styleId="Heading9" w:type="paragraph">
    <w:name w:val="heading 9"/>
    <w:basedOn w:val="Normal"/>
    <w:next w:val="BodyText"/>
    <w:link w:val="Heading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cstheme="majorBidi" w:eastAsiaTheme="majorEastAsia"/>
      <w:color w:themeColor="text1" w:themeTint="D8" w:val="272727"/>
    </w:rPr>
  </w:style>
  <w:style w:customStyle="1" w:styleId="Heading1Char" w:type="character">
    <w:name w:val="Heading 1 Char"/>
    <w:basedOn w:val="DefaultParagraphFont"/>
    <w:link w:val="Heading1"/>
    <w:uiPriority w:val="9"/>
    <w:rsid w:val="00A10FD9"/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customStyle="1" w:styleId="Heading2Char" w:type="character">
    <w:name w:val="Heading 2 Char"/>
    <w:basedOn w:val="DefaultParagraphFont"/>
    <w:link w:val="Heading2"/>
    <w:uiPriority w:val="9"/>
    <w:semiHidden/>
    <w:rsid w:val="00A10FD9"/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customStyle="1" w:styleId="Heading3Char" w:type="character">
    <w:name w:val="Heading 3 Char"/>
    <w:basedOn w:val="DefaultParagraphFont"/>
    <w:link w:val="Heading3"/>
    <w:uiPriority w:val="9"/>
    <w:semiHidden/>
    <w:rsid w:val="00A10FD9"/>
    <w:rPr>
      <w:rFonts w:cstheme="majorBidi" w:eastAsiaTheme="majorEastAsia"/>
      <w:color w:themeColor="accent1" w:themeShade="BF" w:val="0F4761"/>
      <w:sz w:val="28"/>
      <w:szCs w:val="28"/>
    </w:rPr>
  </w:style>
  <w:style w:customStyle="1" w:styleId="Heading4Char" w:type="character">
    <w:name w:val="Heading 4 Char"/>
    <w:basedOn w:val="DefaultParagraphFont"/>
    <w:link w:val="Heading4"/>
    <w:uiPriority w:val="9"/>
    <w:semiHidden/>
    <w:rsid w:val="00A10FD9"/>
    <w:rPr>
      <w:rFonts w:cstheme="majorBidi" w:eastAsiaTheme="majorEastAsia"/>
      <w:i/>
      <w:iCs/>
      <w:color w:themeColor="accent1" w:themeShade="BF" w:val="0F4761"/>
    </w:rPr>
  </w:style>
  <w:style w:customStyle="1" w:styleId="Heading5Char" w:type="character">
    <w:name w:val="Heading 5 Char"/>
    <w:basedOn w:val="DefaultParagraphFont"/>
    <w:link w:val="Heading5"/>
    <w:uiPriority w:val="9"/>
    <w:semiHidden/>
    <w:rsid w:val="00A10FD9"/>
    <w:rPr>
      <w:rFonts w:cstheme="majorBidi" w:eastAsiaTheme="majorEastAsia"/>
      <w:color w:themeColor="accent1" w:themeShade="BF" w:val="0F4761"/>
    </w:rPr>
  </w:style>
  <w:style w:customStyle="1" w:styleId="Heading6Char" w:type="character">
    <w:name w:val="Heading 6 Char"/>
    <w:basedOn w:val="DefaultParagraphFont"/>
    <w:link w:val="Heading6"/>
    <w:uiPriority w:val="9"/>
    <w:semiHidden/>
    <w:rsid w:val="00A10FD9"/>
    <w:rPr>
      <w:rFonts w:cstheme="majorBidi" w:eastAsiaTheme="majorEastAsia"/>
      <w:i/>
      <w:iCs/>
      <w:color w:themeColor="text1" w:themeTint="A6" w:val="595959"/>
    </w:rPr>
  </w:style>
  <w:style w:customStyle="1" w:styleId="Heading7Char" w:type="character">
    <w:name w:val="Heading 7 Char"/>
    <w:basedOn w:val="DefaultParagraphFont"/>
    <w:link w:val="Heading7"/>
    <w:uiPriority w:val="9"/>
    <w:semiHidden/>
    <w:rsid w:val="00A10FD9"/>
    <w:rPr>
      <w:rFonts w:cstheme="majorBidi" w:eastAsiaTheme="majorEastAsia"/>
      <w:color w:themeColor="text1" w:themeTint="A6" w:val="595959"/>
    </w:rPr>
  </w:style>
  <w:style w:customStyle="1" w:styleId="Heading8Char" w:type="character">
    <w:name w:val="Heading 8 Char"/>
    <w:basedOn w:val="DefaultParagraphFont"/>
    <w:link w:val="Heading8"/>
    <w:uiPriority w:val="9"/>
    <w:semiHidden/>
    <w:rsid w:val="00A10FD9"/>
    <w:rPr>
      <w:rFonts w:cstheme="majorBidi" w:eastAsiaTheme="majorEastAsia"/>
      <w:i/>
      <w:iCs/>
      <w:color w:themeColor="text1" w:themeTint="D8" w:val="272727"/>
    </w:rPr>
  </w:style>
  <w:style w:customStyle="1" w:styleId="Heading9Char" w:type="character">
    <w:name w:val="Heading 9 Char"/>
    <w:basedOn w:val="DefaultParagraphFont"/>
    <w:link w:val="Heading9"/>
    <w:uiPriority w:val="9"/>
    <w:semiHidden/>
    <w:rsid w:val="00A10FD9"/>
    <w:rPr>
      <w:rFonts w:cstheme="majorBidi" w:eastAsiaTheme="majorEastAsia"/>
      <w:color w:themeColor="text1" w:themeTint="D8" w:val="272727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styleId="FootnoteBlockText" w:type="paragraph">
    <w:name w:val="Footnote Block Text"/>
    <w:basedOn w:val="FootnoteText"/>
    <w:next w:val="FootnoteText"/>
    <w:uiPriority w:val="9"/>
    <w:unhideWhenUsed/>
    <w:qFormat/>
    <w:pPr>
      <w:spacing w:after="100" w:before="100"/>
      <w:ind w:firstLine="0" w:left="480" w:right="480"/>
    </w:pPr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cPr>
        <w:tcBorders>
          <w:bottom w:val="single"/>
        </w:tcBorders>
        <w:vAlign w:val="bottom"/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  <w:shd w:val="clear" w:fill="f1f3f5"/>
    </w:pPr>
  </w:style>
  <w:style w:type="character" w:customStyle="1" w:styleId="KeywordTok">
    <w:name w:val="KeywordTok"/>
    <w:basedOn w:val="VerbatimChar"/>
    <w:rPr>
      <w:b/>
      <w:color w:val="003b4f"/>
      <w:shd w:val="clear" w:fill="f1f3f5"/>
    </w:rPr>
  </w:style>
  <w:style w:type="character" w:customStyle="1" w:styleId="DataTypeTok">
    <w:name w:val="DataTypeTok"/>
    <w:basedOn w:val="VerbatimChar"/>
    <w:rPr>
      <w:color w:val="ad0000"/>
      <w:shd w:val="clear" w:fill="f1f3f5"/>
    </w:rPr>
  </w:style>
  <w:style w:type="character" w:customStyle="1" w:styleId="DecValTok">
    <w:name w:val="DecValTok"/>
    <w:basedOn w:val="VerbatimChar"/>
    <w:rPr>
      <w:color w:val="ad0000"/>
      <w:shd w:val="clear" w:fill="f1f3f5"/>
    </w:rPr>
  </w:style>
  <w:style w:type="character" w:customStyle="1" w:styleId="BaseNTok">
    <w:name w:val="BaseNTok"/>
    <w:basedOn w:val="VerbatimChar"/>
    <w:rPr>
      <w:color w:val="ad0000"/>
      <w:shd w:val="clear" w:fill="f1f3f5"/>
    </w:rPr>
  </w:style>
  <w:style w:type="character" w:customStyle="1" w:styleId="FloatTok">
    <w:name w:val="FloatTok"/>
    <w:basedOn w:val="VerbatimChar"/>
    <w:rPr>
      <w:color w:val="ad0000"/>
      <w:shd w:val="clear" w:fill="f1f3f5"/>
    </w:rPr>
  </w:style>
  <w:style w:type="character" w:customStyle="1" w:styleId="ConstantTok">
    <w:name w:val="ConstantTok"/>
    <w:basedOn w:val="VerbatimChar"/>
    <w:rPr>
      <w:color w:val="8f5902"/>
      <w:shd w:val="clear" w:fill="f1f3f5"/>
    </w:rPr>
  </w:style>
  <w:style w:type="character" w:customStyle="1" w:styleId="CharTok">
    <w:name w:val="CharTok"/>
    <w:basedOn w:val="VerbatimChar"/>
    <w:rPr>
      <w:color w:val="20794d"/>
      <w:shd w:val="clear" w:fill="f1f3f5"/>
    </w:rPr>
  </w:style>
  <w:style w:type="character" w:customStyle="1" w:styleId="SpecialCharTok">
    <w:name w:val="SpecialCharTok"/>
    <w:basedOn w:val="VerbatimChar"/>
    <w:rPr>
      <w:color w:val="5e5e5e"/>
      <w:shd w:val="clear" w:fill="f1f3f5"/>
    </w:rPr>
  </w:style>
  <w:style w:type="character" w:customStyle="1" w:styleId="StringTok">
    <w:name w:val="StringTok"/>
    <w:basedOn w:val="VerbatimChar"/>
    <w:rPr>
      <w:color w:val="20794d"/>
      <w:shd w:val="clear" w:fill="f1f3f5"/>
    </w:rPr>
  </w:style>
  <w:style w:type="character" w:customStyle="1" w:styleId="VerbatimStringTok">
    <w:name w:val="VerbatimStringTok"/>
    <w:basedOn w:val="VerbatimChar"/>
    <w:rPr>
      <w:color w:val="20794d"/>
      <w:shd w:val="clear" w:fill="f1f3f5"/>
    </w:rPr>
  </w:style>
  <w:style w:type="character" w:customStyle="1" w:styleId="SpecialStringTok">
    <w:name w:val="SpecialStringTok"/>
    <w:basedOn w:val="VerbatimChar"/>
    <w:rPr>
      <w:color w:val="20794d"/>
      <w:shd w:val="clear" w:fill="f1f3f5"/>
    </w:rPr>
  </w:style>
  <w:style w:type="character" w:customStyle="1" w:styleId="ImportTok">
    <w:name w:val="ImportTok"/>
    <w:basedOn w:val="VerbatimChar"/>
    <w:rPr>
      <w:color w:val="00769e"/>
      <w:shd w:val="clear" w:fill="f1f3f5"/>
    </w:rPr>
  </w:style>
  <w:style w:type="character" w:customStyle="1" w:styleId="CommentTok">
    <w:name w:val="CommentTok"/>
    <w:basedOn w:val="VerbatimChar"/>
    <w:rPr>
      <w:color w:val="5e5e5e"/>
      <w:shd w:val="clear" w:fill="f1f3f5"/>
    </w:rPr>
  </w:style>
  <w:style w:type="character" w:customStyle="1" w:styleId="DocumentationTok">
    <w:name w:val="DocumentationTok"/>
    <w:basedOn w:val="VerbatimChar"/>
    <w:rPr>
      <w:i/>
      <w:color w:val="5e5e5e"/>
      <w:shd w:val="clear" w:fill="f1f3f5"/>
    </w:rPr>
  </w:style>
  <w:style w:type="character" w:customStyle="1" w:styleId="AnnotationTok">
    <w:name w:val="AnnotationTok"/>
    <w:basedOn w:val="VerbatimChar"/>
    <w:rPr>
      <w:color w:val="5e5e5e"/>
      <w:shd w:val="clear" w:fill="f1f3f5"/>
    </w:rPr>
  </w:style>
  <w:style w:type="character" w:customStyle="1" w:styleId="CommentVarTok">
    <w:name w:val="CommentVarTok"/>
    <w:basedOn w:val="VerbatimChar"/>
    <w:rPr>
      <w:i/>
      <w:color w:val="5e5e5e"/>
      <w:shd w:val="clear" w:fill="f1f3f5"/>
    </w:rPr>
  </w:style>
  <w:style w:type="character" w:customStyle="1" w:styleId="OtherTok">
    <w:name w:val="OtherTok"/>
    <w:basedOn w:val="VerbatimChar"/>
    <w:rPr>
      <w:color w:val="003b4f"/>
      <w:shd w:val="clear" w:fill="f1f3f5"/>
    </w:rPr>
  </w:style>
  <w:style w:type="character" w:customStyle="1" w:styleId="FunctionTok">
    <w:name w:val="FunctionTok"/>
    <w:basedOn w:val="VerbatimChar"/>
    <w:rPr>
      <w:color w:val="4758ab"/>
      <w:shd w:val="clear" w:fill="f1f3f5"/>
    </w:rPr>
  </w:style>
  <w:style w:type="character" w:customStyle="1" w:styleId="VariableTok">
    <w:name w:val="VariableTok"/>
    <w:basedOn w:val="VerbatimChar"/>
    <w:rPr>
      <w:color w:val="111111"/>
      <w:shd w:val="clear" w:fill="f1f3f5"/>
    </w:rPr>
  </w:style>
  <w:style w:type="character" w:customStyle="1" w:styleId="ControlFlowTok">
    <w:name w:val="ControlFlowTok"/>
    <w:basedOn w:val="VerbatimChar"/>
    <w:rPr>
      <w:b/>
      <w:color w:val="003b4f"/>
      <w:shd w:val="clear" w:fill="f1f3f5"/>
    </w:rPr>
  </w:style>
  <w:style w:type="character" w:customStyle="1" w:styleId="OperatorTok">
    <w:name w:val="OperatorTok"/>
    <w:basedOn w:val="VerbatimChar"/>
    <w:rPr>
      <w:color w:val="5e5e5e"/>
      <w:shd w:val="clear" w:fill="f1f3f5"/>
    </w:rPr>
  </w:style>
  <w:style w:type="character" w:customStyle="1" w:styleId="BuiltInTok">
    <w:name w:val="BuiltInTok"/>
    <w:basedOn w:val="VerbatimChar"/>
    <w:rPr>
      <w:color w:val="003b4f"/>
      <w:shd w:val="clear" w:fill="f1f3f5"/>
    </w:rPr>
  </w:style>
  <w:style w:type="character" w:customStyle="1" w:styleId="ExtensionTok">
    <w:name w:val="ExtensionTok"/>
    <w:basedOn w:val="VerbatimChar"/>
    <w:rPr>
      <w:color w:val="003b4f"/>
      <w:shd w:val="clear" w:fill="f1f3f5"/>
    </w:rPr>
  </w:style>
  <w:style w:type="character" w:customStyle="1" w:styleId="PreprocessorTok">
    <w:name w:val="PreprocessorTok"/>
    <w:basedOn w:val="VerbatimChar"/>
    <w:rPr>
      <w:color w:val="ad0000"/>
      <w:shd w:val="clear" w:fill="f1f3f5"/>
    </w:rPr>
  </w:style>
  <w:style w:type="character" w:customStyle="1" w:styleId="AttributeTok">
    <w:name w:val="AttributeTok"/>
    <w:basedOn w:val="VerbatimChar"/>
    <w:rPr>
      <w:color w:val="657422"/>
      <w:shd w:val="clear" w:fill="f1f3f5"/>
    </w:rPr>
  </w:style>
  <w:style w:type="character" w:customStyle="1" w:styleId="RegionMarkerTok">
    <w:name w:val="RegionMarkerTok"/>
    <w:basedOn w:val="VerbatimChar"/>
    <w:rPr>
      <w:color w:val="003b4f"/>
      <w:shd w:val="clear" w:fill="f1f3f5"/>
    </w:rPr>
  </w:style>
  <w:style w:type="character" w:customStyle="1" w:styleId="InformationTok">
    <w:name w:val="InformationTok"/>
    <w:basedOn w:val="VerbatimChar"/>
    <w:rPr>
      <w:color w:val="5e5e5e"/>
      <w:shd w:val="clear" w:fill="f1f3f5"/>
    </w:rPr>
  </w:style>
  <w:style w:type="character" w:customStyle="1" w:styleId="WarningTok">
    <w:name w:val="WarningTok"/>
    <w:basedOn w:val="VerbatimChar"/>
    <w:rPr>
      <w:i/>
      <w:color w:val="5e5e5e"/>
      <w:shd w:val="clear" w:fill="f1f3f5"/>
    </w:rPr>
  </w:style>
  <w:style w:type="character" w:customStyle="1" w:styleId="AlertTok">
    <w:name w:val="AlertTok"/>
    <w:basedOn w:val="VerbatimChar"/>
    <w:rPr>
      <w:color w:val="ad0000"/>
      <w:shd w:val="clear" w:fill="f1f3f5"/>
    </w:rPr>
  </w:style>
  <w:style w:type="character" w:customStyle="1" w:styleId="ErrorTok">
    <w:name w:val="ErrorTok"/>
    <w:basedOn w:val="VerbatimChar"/>
    <w:rPr>
      <w:color w:val="ad0000"/>
      <w:shd w:val="clear" w:fill="f1f3f5"/>
    </w:rPr>
  </w:style>
  <w:style w:type="character" w:customStyle="1" w:styleId="NormalTok">
    <w:name w:val="NormalTok"/>
    <w:basedOn w:val="VerbatimChar"/>
    <w:rPr>
      <w:color w:val="003b4f"/>
      <w:shd w:val="clear" w:fill="f1f3f5"/>
    </w:rPr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8" Target="numbering.xml" /><Relationship Type="http://schemas.openxmlformats.org/officeDocument/2006/relationships/styles" Id="rId7" Target="styles.xml" /><Relationship Type="http://schemas.openxmlformats.org/officeDocument/2006/relationships/settings" Id="rId6" Target="settings.xml" /><Relationship Type="http://schemas.openxmlformats.org/officeDocument/2006/relationships/webSettings" Id="rId5" Target="webSettings.xml" /><Relationship Type="http://schemas.openxmlformats.org/officeDocument/2006/relationships/fontTable" Id="rId4" Target="fontTable.xml" /><Relationship Type="http://schemas.openxmlformats.org/officeDocument/2006/relationships/theme" Id="rId3" Target="theme/theme1.xml" /><Relationship Type="http://schemas.openxmlformats.org/officeDocument/2006/relationships/footnotes" Id="rId2" Target="footnotes.xml" /><Relationship Type="http://schemas.openxmlformats.org/officeDocument/2006/relationships/comments" Id="rId1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Classification</dc:title>
  <dc:creator/>
  <cp:keywords/>
  <dcterms:created xsi:type="dcterms:W3CDTF">2026-05-01T18:23:23Z</dcterms:created>
  <dcterms:modified xsi:type="dcterms:W3CDTF">2026-05-01T18:23:23Z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iblio-config">
    <vt:lpwstr>True</vt:lpwstr>
  </property>
  <property fmtid="{D5CDD505-2E9C-101B-9397-08002B2CF9AE}" pid="3" name="bibliography">
    <vt:lpwstr/>
  </property>
  <property fmtid="{D5CDD505-2E9C-101B-9397-08002B2CF9AE}" pid="4" name="callouty-theorem">
    <vt:lpwstr/>
  </property>
  <property fmtid="{D5CDD505-2E9C-101B-9397-08002B2CF9AE}" pid="5" name="comments">
    <vt:lpwstr/>
  </property>
  <property fmtid="{D5CDD505-2E9C-101B-9397-08002B2CF9AE}" pid="6" name="crossref">
    <vt:lpwstr/>
  </property>
  <property fmtid="{D5CDD505-2E9C-101B-9397-08002B2CF9AE}" pid="7" name="custom-callout">
    <vt:lpwstr/>
  </property>
  <property fmtid="{D5CDD505-2E9C-101B-9397-08002B2CF9AE}" pid="8" name="editor">
    <vt:lpwstr/>
  </property>
  <property fmtid="{D5CDD505-2E9C-101B-9397-08002B2CF9AE}" pid="9" name="editor_options">
    <vt:lpwstr/>
  </property>
  <property fmtid="{D5CDD505-2E9C-101B-9397-08002B2CF9AE}" pid="10" name="engines">
    <vt:lpwstr/>
  </property>
  <property fmtid="{D5CDD505-2E9C-101B-9397-08002B2CF9AE}" pid="11" name="header-includes">
    <vt:lpwstr/>
  </property>
  <property fmtid="{D5CDD505-2E9C-101B-9397-08002B2CF9AE}" pid="12" name="include-after">
    <vt:lpwstr/>
  </property>
  <property fmtid="{D5CDD505-2E9C-101B-9397-08002B2CF9AE}" pid="13" name="include-before">
    <vt:lpwstr/>
  </property>
  <property fmtid="{D5CDD505-2E9C-101B-9397-08002B2CF9AE}" pid="14" name="knitr">
    <vt:lpwstr/>
  </property>
  <property fmtid="{D5CDD505-2E9C-101B-9397-08002B2CF9AE}" pid="15" name="labels">
    <vt:lpwstr/>
  </property>
  <property fmtid="{D5CDD505-2E9C-101B-9397-08002B2CF9AE}" pid="16" name="number-depth">
    <vt:lpwstr>3</vt:lpwstr>
  </property>
  <property fmtid="{D5CDD505-2E9C-101B-9397-08002B2CF9AE}" pid="17" name="toc-title">
    <vt:lpwstr>Table of contents</vt:lpwstr>
  </property>
</Properties>
</file>