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Summary of Regression Modeling Concepts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0" w:name="Xb17d196f311f77ae71c6a68d34a7a7ec6c02c86"/>
    <w:p>
      <w:pPr>
        <w:pStyle w:val="Heading1"/>
      </w:pPr>
      <w:r>
        <w:t xml:space="preserve">1. We use different probability models for different data types</w:t>
      </w:r>
    </w:p>
    <w:p>
      <w:pPr>
        <w:pStyle w:val="Compact"/>
        <w:numPr>
          <w:ilvl w:val="0"/>
          <w:numId w:val="1001"/>
        </w:numPr>
      </w:pPr>
      <w:r>
        <w:t xml:space="preserve">Binary outcomes: Bernoulli models</w:t>
      </w:r>
    </w:p>
    <w:p>
      <w:pPr>
        <w:pStyle w:val="Compact"/>
        <w:numPr>
          <w:ilvl w:val="0"/>
          <w:numId w:val="1001"/>
        </w:numPr>
      </w:pPr>
      <w:r>
        <w:t xml:space="preserve">Event rate outcomes: Poisson/Negative binomial models</w:t>
      </w:r>
    </w:p>
    <w:p>
      <w:pPr>
        <w:pStyle w:val="Compact"/>
        <w:numPr>
          <w:ilvl w:val="0"/>
          <w:numId w:val="1001"/>
        </w:numPr>
      </w:pPr>
      <w:r>
        <w:t xml:space="preserve">Time-to-event outcomes: Survival models</w:t>
      </w:r>
    </w:p>
    <w:p>
      <w:pPr>
        <w:pStyle w:val="Compact"/>
        <w:numPr>
          <w:ilvl w:val="0"/>
          <w:numId w:val="1001"/>
        </w:numPr>
      </w:pPr>
      <w:r>
        <w:t xml:space="preserve">Catch-all: Gaussian models</w:t>
      </w:r>
    </w:p>
    <w:bookmarkEnd w:id="10"/>
    <w:bookmarkStart w:id="12" w:name="X8562c8db48d7fa25ea19a62a1dae1398893990c"/>
    <w:p>
      <w:pPr>
        <w:pStyle w:val="Heading1"/>
      </w:pPr>
      <w:r>
        <w:t xml:space="preserve">2. We use different link functions to connect these models with covariates</w:t>
      </w:r>
    </w:p>
    <w:p>
      <w:pPr>
        <w:pStyle w:val="Compact"/>
        <w:numPr>
          <w:ilvl w:val="0"/>
          <w:numId w:val="1002"/>
        </w:numPr>
      </w:pPr>
      <w:r>
        <w:t xml:space="preserve">Bernoulli models: logit link</w:t>
      </w:r>
    </w:p>
    <w:p>
      <w:pPr>
        <w:pStyle w:val="Compact"/>
        <w:numPr>
          <w:ilvl w:val="0"/>
          <w:numId w:val="1002"/>
        </w:numPr>
      </w:pPr>
      <w:r>
        <w:t xml:space="preserve">Count models: log link + offset</w:t>
      </w:r>
    </w:p>
    <w:p>
      <w:pPr>
        <w:pStyle w:val="Compact"/>
        <w:numPr>
          <w:ilvl w:val="0"/>
          <w:numId w:val="1002"/>
        </w:numPr>
      </w:pPr>
      <w:r>
        <w:t xml:space="preserve">Survival models: log link</w:t>
      </w:r>
    </w:p>
    <w:p>
      <w:pPr>
        <w:pStyle w:val="Compact"/>
        <w:numPr>
          <w:ilvl w:val="0"/>
          <w:numId w:val="1002"/>
        </w:numPr>
      </w:pPr>
      <w:r>
        <w:t xml:space="preserve">Gaussian models: identity link</w:t>
      </w:r>
    </w:p>
    <w:p>
      <w:pPr>
        <w:pStyle w:val="FirstParagraph"/>
      </w:pPr>
      <w:hyperlink w:anchor="fig-model-diagrams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how the various models we have studied</w:t>
      </w:r>
      <w:r>
        <w:t xml:space="preserve"> </w:t>
      </w:r>
      <w:r>
        <w:t xml:space="preserve">have analogous structures:</w:t>
      </w:r>
      <w:r>
        <w:t xml:space="preserve"> </w:t>
      </w:r>
      <w:r>
        <w:t xml:space="preserve">each row uses model-specific transformations to connect</w:t>
      </w:r>
      <w:r>
        <w:t xml:space="preserve"> </w:t>
      </w:r>
      <w:r>
        <w:t xml:space="preserve">the modeled quantity</w:t>
      </w:r>
      <w:r>
        <w:t xml:space="preserve"> </w:t>
      </w:r>
      <w:r>
        <w:t xml:space="preserve">to a linear predictor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⋅</m:t>
        </m:r>
        <m:acc>
          <m:accPr>
            <m:chr m:val="̃"/>
          </m:accPr>
          <m:e>
            <m:r>
              <m:t>β</m:t>
            </m:r>
          </m:e>
        </m:acc>
        <m:r>
          <m:rPr>
            <m:sty m:val="p"/>
          </m:rPr>
          <m:t>+</m:t>
        </m:r>
        <m:sSub>
          <m:e>
            <m:r>
              <m:t>η</m:t>
            </m:r>
          </m:e>
          <m:sub>
            <m:r>
              <m:t>0</m:t>
            </m:r>
          </m:sub>
        </m:sSub>
      </m:oMath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" w:name="fig-model-diagrams"/>
          <w:p>
            <w:pPr>
              <w:jc w:val="center"/>
            </w:pPr>
            <w:r>
              <w:t xml:space="preserve">Linear (Gaussian):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limLow>
                  <m:e>
                    <m:limLow>
                      <m:e>
                        <m:r>
                          <m:t>μ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mean</m:t>
                    </m:r>
                  </m:lim>
                </m:limLow>
                <m:limLow>
                  <m:e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→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=</m:t>
                            </m:r>
                          </m:lim>
                        </m:limUpp>
                      </m:e>
                      <m:lim>
                        <m:r>
                          <m:t>​</m:t>
                        </m:r>
                      </m:lim>
                    </m:limLow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=</m:t>
                            </m:r>
                          </m:lim>
                        </m:limUpp>
                      </m:e>
                      <m:lim>
                        <m:r>
                          <m:t>​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linear</m:t>
                          </m:r>
                        </m:e>
                      </m:m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predictor</m:t>
                          </m:r>
                        </m:e>
                      </m:mr>
                    </m:m>
                  </m:lim>
                </m:limLow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+</m:t>
                </m:r>
                <m:r>
                  <m:t>μ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jc w:val="center"/>
            </w:pPr>
            <w:r>
              <w:t xml:space="preserve">Logistic (Binomial):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limLow>
                  <m:e>
                    <m:limLow>
                      <m:e>
                        <m:r>
                          <m:t>μ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mean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f>
                          <m:fPr>
                            <m:type m:val="bar"/>
                          </m:fPr>
                          <m:num>
                            <m:r>
                              <m:t>μ</m:t>
                            </m:r>
                          </m:num>
                          <m:den>
                            <m:r>
                              <m:t>n</m:t>
                            </m:r>
                          </m:den>
                        </m:f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n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π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probability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f>
                          <m:fPr>
                            <m:type m:val="bar"/>
                          </m:fPr>
                          <m:num>
                            <m:r>
                              <m:t>π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den>
                        </m:f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f>
                          <m:fPr>
                            <m:type m:val="bar"/>
                          </m:fPr>
                          <m:num>
                            <m:r>
                              <m:t>ω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ω</m:t>
                            </m:r>
                          </m:den>
                        </m:f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ω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odds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ω</m:t>
                            </m:r>
                          </m:e>
                        </m:d>
                        <m:r>
                          <m:t>​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η</m:t>
                            </m:r>
                          </m:e>
                        </m:d>
                        <m:r>
                          <m:t>​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η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log-odds</m:t>
                    </m:r>
                  </m:lim>
                </m:limLow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+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jc w:val="center"/>
            </w:pPr>
            <w:r>
              <w:t xml:space="preserve">Count (Poisson):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limLow>
                  <m:e>
                    <m:limLow>
                      <m:e>
                        <m:r>
                          <m:t>μ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mean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r>
                          <m:t>μ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t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t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λ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rate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λ</m:t>
                            </m:r>
                          </m:e>
                        </m:d>
                        <m:r>
                          <m:t>​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η</m:t>
                            </m:r>
                          </m:e>
                        </m:d>
                        <m:r>
                          <m:t>​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η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log-rate</m:t>
                    </m:r>
                  </m:lim>
                </m:limLow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jc w:val="center"/>
            </w:pPr>
            <w:r>
              <w:t xml:space="preserve">Survival (Cox PH):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limLow>
                  <m:e>
                    <m:limLow>
                      <m:e>
                        <m:r>
                          <m:t>μ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mean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←</m:t>
                        </m:r>
                      </m:e>
                      <m:lim>
                        <m:r>
                          <m:t>​</m:t>
                        </m:r>
                      </m:lim>
                    </m:limUpp>
                  </m:e>
                  <m:lim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  <m:r>
                          <m:t>d</m:t>
                        </m:r>
                        <m:r>
                          <m:t>t</m:t>
                        </m:r>
                      </m:e>
                    </m:nary>
                  </m:lim>
                </m:limLow>
                <m:limLow>
                  <m:e>
                    <m:limLow>
                      <m:e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survival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S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  <m:r>
                          <m:t>​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  <m:r>
                          <m:t>​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rPr>
                            <m:sty m:val="p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cumulative hazard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sSup>
                          <m:e>
                            <m:r>
                              <m:rPr>
                                <m:sty m:val="p"/>
                              </m:rPr>
                              <m:t>Λ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t</m:t>
                            </m:r>
                          </m:sup>
                          <m:e>
                            <m:r>
                              <m:t>λ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u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u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hazard</m:t>
                    </m:r>
                  </m:lim>
                </m:limLow>
                <m:limLow>
                  <m:e>
                    <m:limUpp>
                      <m:e>
                        <m:r>
                          <m:rPr>
                            <m:sty m:val="p"/>
                          </m:rPr>
                          <m:t>→</m:t>
                        </m:r>
                      </m:e>
                      <m:lim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  <m:r>
                          <m:t>​</m:t>
                        </m:r>
                      </m:lim>
                    </m:limUpp>
                  </m:e>
                  <m:lim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←</m:t>
                            </m:r>
                          </m:e>
                          <m:lim>
                            <m:r>
                              <m:t>​</m:t>
                            </m:r>
                          </m:lim>
                        </m:limUpp>
                      </m:e>
                      <m:lim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η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  <m:r>
                          <m:t>​</m:t>
                        </m:r>
                      </m:lim>
                    </m:limLow>
                  </m:lim>
                </m:limLow>
                <m:limLow>
                  <m:e>
                    <m:limLow>
                      <m:e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log-hazard</m:t>
                    </m:r>
                  </m:lim>
                </m:limLow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+</m:t>
                </m:r>
                <m:sSub>
                  <m:e>
                    <m:r>
                      <m:t>η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Parallel structures of GLMs and survival models.</w:t>
            </w:r>
            <w:r>
              <w:t xml:space="preserve"> </w:t>
            </w:r>
            <w:r>
              <w:t xml:space="preserve">Each row shows the transformation chain from the modeled quantity</w:t>
            </w:r>
            <w:r>
              <w:t xml:space="preserve"> </w:t>
            </w:r>
            <w:r>
              <w:t xml:space="preserve">to the linear predictor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+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denotes the model-specific intercept term,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denotes the Cox PH baseline log-hazard term.</w:t>
            </w:r>
          </w:p>
          <w:bookmarkEnd w:id="11"/>
        </w:tc>
      </w:tr>
    </w:tbl>
    <w:bookmarkEnd w:id="12"/>
    <w:bookmarkStart w:id="13" w:name="Xc3099c67c29afffd1262ecea75e085f92e21212"/>
    <w:p>
      <w:pPr>
        <w:pStyle w:val="Heading1"/>
      </w:pPr>
      <w:r>
        <w:t xml:space="preserve">3. We use maximum likelihood estimation to fit models to data</w:t>
      </w:r>
    </w:p>
    <w:p>
      <w:pPr>
        <w:pStyle w:val="Compact"/>
        <w:numPr>
          <w:ilvl w:val="0"/>
          <w:numId w:val="1003"/>
        </w:numPr>
      </w:pPr>
      <w:r>
        <w:t xml:space="preserve">likelihood</w:t>
      </w:r>
    </w:p>
    <w:p>
      <w:pPr>
        <w:pStyle w:val="Compact"/>
        <w:numPr>
          <w:ilvl w:val="0"/>
          <w:numId w:val="1003"/>
        </w:numPr>
      </w:pPr>
      <w:r>
        <w:t xml:space="preserve">log-likelihood</w:t>
      </w:r>
    </w:p>
    <w:p>
      <w:pPr>
        <w:pStyle w:val="Compact"/>
        <w:numPr>
          <w:ilvl w:val="0"/>
          <w:numId w:val="1003"/>
        </w:numPr>
      </w:pPr>
      <w:r>
        <w:t xml:space="preserve">score function</w:t>
      </w:r>
    </w:p>
    <w:p>
      <w:pPr>
        <w:pStyle w:val="Compact"/>
        <w:numPr>
          <w:ilvl w:val="0"/>
          <w:numId w:val="1003"/>
        </w:numPr>
      </w:pPr>
      <w:r>
        <w:t xml:space="preserve">hessian</w:t>
      </w:r>
    </w:p>
    <w:bookmarkEnd w:id="13"/>
    <w:bookmarkStart w:id="14" w:name="X1c9769e7215bdd02c9d57072e0a186a93c9d0ae"/>
    <w:p>
      <w:pPr>
        <w:pStyle w:val="Heading1"/>
      </w:pPr>
      <w:r>
        <w:t xml:space="preserve">4. We use asymptotic normality of MLEs to quantify uncertainty about models</w:t>
      </w:r>
    </w:p>
    <w:p>
      <w:pPr>
        <w:pStyle w:val="Compact"/>
        <w:numPr>
          <w:ilvl w:val="0"/>
          <w:numId w:val="1004"/>
        </w:numPr>
      </w:pPr>
      <w:r>
        <w:t xml:space="preserve">observed information matrix</w:t>
      </w:r>
    </w:p>
    <w:p>
      <w:pPr>
        <w:pStyle w:val="Compact"/>
        <w:numPr>
          <w:ilvl w:val="0"/>
          <w:numId w:val="1004"/>
        </w:numPr>
      </w:pPr>
      <w:r>
        <w:t xml:space="preserve">expected information matrix</w:t>
      </w:r>
    </w:p>
    <w:p>
      <w:pPr>
        <w:pStyle w:val="Compact"/>
        <w:numPr>
          <w:ilvl w:val="0"/>
          <w:numId w:val="1004"/>
        </w:numPr>
      </w:pPr>
      <w:r>
        <w:t xml:space="preserve">standard error</w:t>
      </w:r>
    </w:p>
    <w:p>
      <w:pPr>
        <w:pStyle w:val="Compact"/>
        <w:numPr>
          <w:ilvl w:val="0"/>
          <w:numId w:val="1004"/>
        </w:numPr>
      </w:pPr>
      <w:r>
        <w:t xml:space="preserve">confidence intervals</w:t>
      </w:r>
    </w:p>
    <w:p>
      <w:pPr>
        <w:pStyle w:val="Compact"/>
        <w:numPr>
          <w:ilvl w:val="0"/>
          <w:numId w:val="1004"/>
        </w:numPr>
      </w:pPr>
      <w:r>
        <w:t xml:space="preserve">p-values</w:t>
      </w:r>
    </w:p>
    <w:bookmarkEnd w:id="14"/>
    <w:bookmarkStart w:id="15" w:name="X91aeae81472a85e36e15aefa4616fba0df33778"/>
    <w:p>
      <w:pPr>
        <w:pStyle w:val="Heading1"/>
      </w:pPr>
      <w:r>
        <w:t xml:space="preserve">5. We use (log) likelihood ratios to compare models</w:t>
      </w:r>
    </w:p>
    <w:p>
      <w:pPr>
        <w:pStyle w:val="FirstParagraph"/>
      </w:pPr>
      <w:r>
        <w:t xml:space="preserve">Sometimes we adjust these comparisons for model size (AIC, BIC)</w:t>
      </w:r>
    </w:p>
    <w:bookmarkEnd w:id="15"/>
    <w:bookmarkStart w:id="17" w:name="references"/>
    <w:p>
      <w:pPr>
        <w:pStyle w:val="Heading1"/>
      </w:pPr>
      <w:r>
        <w:t xml:space="preserve">References</w:t>
      </w:r>
    </w:p>
    <w:bookmarkStart w:id="16" w:name="refs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Regression Modeling Concepts</dc:title>
  <dc:creator/>
  <cp:keywords/>
  <dcterms:created xsi:type="dcterms:W3CDTF">2026-06-20T09:24:52Z</dcterms:created>
  <dcterms:modified xsi:type="dcterms:W3CDTF">2026-06-20T09:24:52Z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