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Markov Chain Monte Carlo Methods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10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p>
      <w:pPr>
        <w:pStyle w:val="FirstParagraph"/>
      </w:pPr>
      <w:r>
        <w:t xml:space="preserve">The</w:t>
      </w:r>
      <w:r>
        <w:t xml:space="preserve"> </w:t>
      </w:r>
      <w:hyperlink r:id="rId9">
        <w:r>
          <w:rPr>
            <w:rStyle w:val="Hyperlink"/>
          </w:rPr>
          <w:t xml:space="preserve">previous appendix</w:t>
        </w:r>
      </w:hyperlink>
      <w:r>
        <w:t xml:space="preserve"> </w:t>
      </w:r>
      <w:r>
        <w:t xml:space="preserve">showed that,</w:t>
      </w:r>
      <w:r>
        <w:t xml:space="preserve"> </w:t>
      </w:r>
      <w:r>
        <w:t xml:space="preserve">outside conjugate special cases, the posterior distribution has no closed</w:t>
      </w:r>
      <w:r>
        <w:t xml:space="preserve"> </w:t>
      </w:r>
      <w:r>
        <w:t xml:space="preserve">form and its normalizing constant is an intractable integral.</w:t>
      </w:r>
      <w:r>
        <w:t xml:space="preserve"> </w:t>
      </w:r>
      <w:r>
        <w:t xml:space="preserve">This appendix develops</w:t>
      </w:r>
      <w:r>
        <w:t xml:space="preserve"> </w:t>
      </w:r>
      <w:r>
        <w:rPr>
          <w:b/>
          <w:bCs/>
        </w:rPr>
        <w:t xml:space="preserve">Markov chain Monte Carlo (MCMC)</w:t>
      </w:r>
      <w:r>
        <w:t xml:space="preserve">, the</w:t>
      </w:r>
      <w:r>
        <w:t xml:space="preserve"> </w:t>
      </w:r>
      <w:r>
        <w:t xml:space="preserve">simulation strategy that makes general Bayesian inference practical.</w:t>
      </w:r>
      <w:r>
        <w:t xml:space="preserve"> </w:t>
      </w:r>
      <w:r>
        <w:t xml:space="preserve">The structure parallels</w:t>
      </w:r>
      <w:r>
        <w:t xml:space="preserve"> </w:t>
      </w:r>
      <w:r>
        <w:t xml:space="preserve">(Dobson and Barnett 2018, chap. 13)</w:t>
      </w:r>
      <w:r>
        <w:t xml:space="preserve">:</w:t>
      </w:r>
      <w:r>
        <w:t xml:space="preserve"> </w:t>
      </w:r>
      <w:r>
        <w:t xml:space="preserve">we explain why ordinary inference fails, introduce Monte Carlo</w:t>
      </w:r>
      <w:r>
        <w:t xml:space="preserve"> </w:t>
      </w:r>
      <w:r>
        <w:t xml:space="preserve">integration and Markov chains, describe the Metropolis–Hastings and</w:t>
      </w:r>
      <w:r>
        <w:t xml:space="preserve"> </w:t>
      </w:r>
      <w:r>
        <w:t xml:space="preserve">Gibbs samplers, and then turn to convergence diagnostics and model</w:t>
      </w:r>
      <w:r>
        <w:t xml:space="preserve"> </w:t>
      </w:r>
      <w:r>
        <w:t xml:space="preserve">comparison.</w:t>
      </w:r>
    </w:p>
    <w:bookmarkEnd w:id="10"/>
    <w:bookmarkStart w:id="34" w:name="sec-mcmc-methods"/>
    <w:p>
      <w:pPr>
        <w:pStyle w:val="Heading1"/>
      </w:pPr>
      <w:r>
        <w:t xml:space="preserve">1. Foundations</w:t>
      </w:r>
    </w:p>
    <w:p>
      <w:pPr>
        <w:pStyle w:val="FirstParagraph"/>
      </w:pPr>
      <w:r>
        <w:t xml:space="preserve">When the posterior distribution has a known closed form,</w:t>
      </w:r>
      <w:r>
        <w:t xml:space="preserve"> </w:t>
      </w:r>
      <w:r>
        <w:t xml:space="preserve">we can sample from it directly and compute summaries analytically.</w:t>
      </w:r>
      <w:r>
        <w:t xml:space="preserve"> </w:t>
      </w:r>
      <w:r>
        <w:t xml:space="preserve">In most real-world models, however,</w:t>
      </w:r>
      <w:r>
        <w:t xml:space="preserve"> </w:t>
      </w:r>
      <w:r>
        <w:t xml:space="preserve">the normalizing constant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is intractable,</w:t>
      </w:r>
      <w:r>
        <w:t xml:space="preserve"> </w:t>
      </w:r>
      <w:r>
        <w:t xml:space="preserve">making direct sampling and closed-form summaries impossible.</w:t>
      </w:r>
      <w:r>
        <w:t xml:space="preserve"> </w:t>
      </w:r>
      <w:r>
        <w:rPr>
          <w:b/>
          <w:bCs/>
        </w:rPr>
        <w:t xml:space="preserve">Markov Chain Monte Carlo (MCMC)</w:t>
      </w:r>
      <w:r>
        <w:t xml:space="preserve"> </w:t>
      </w:r>
      <w:r>
        <w:t xml:space="preserve">methods provide a practical solution:</w:t>
      </w:r>
      <w:r>
        <w:t xml:space="preserve"> </w:t>
      </w:r>
      <w:r>
        <w:t xml:space="preserve">instead of sampling independent draws from the exact posterior,</w:t>
      </w:r>
      <w:r>
        <w:t xml:space="preserve"> </w:t>
      </w:r>
      <w:r>
        <w:t xml:space="preserve">they generate a</w:t>
      </w:r>
      <w:r>
        <w:t xml:space="preserve"> </w:t>
      </w:r>
      <w:r>
        <w:rPr>
          <w:i/>
          <w:iCs/>
        </w:rPr>
        <w:t xml:space="preserve">correlated</w:t>
      </w:r>
      <w:r>
        <w:t xml:space="preserve"> </w:t>
      </w:r>
      <w:r>
        <w:t xml:space="preserve">sequence of draws whose long-run distribution</w:t>
      </w:r>
      <w:r>
        <w:t xml:space="preserve"> </w:t>
      </w:r>
      <w:r>
        <w:t xml:space="preserve">converges to the posterior</w:t>
      </w:r>
      <w:r>
        <w:t xml:space="preserve"> </w:t>
      </w:r>
      <w:r>
        <w:t xml:space="preserve">(Dobson and Barnett 2018, chap. 13, p. 287)</w:t>
      </w:r>
      <w:r>
        <w:t xml:space="preserve">.</w:t>
      </w:r>
    </w:p>
    <w:bookmarkStart w:id="11" w:name="Xaf01b76feb2f0ea6c359347219968ec4b8c8dd5"/>
    <w:p>
      <w:pPr>
        <w:pStyle w:val="Heading2"/>
      </w:pPr>
      <w:r>
        <w:t xml:space="preserve">1.1 Why the normalizing constant is computationally challenging</w:t>
      </w:r>
    </w:p>
    <w:p>
      <w:pPr>
        <w:pStyle w:val="FirstParagraph"/>
      </w:pPr>
      <w:r>
        <w:t xml:space="preserve">The posterior is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θ</m:t>
            </m:r>
          </m:e>
        </m:acc>
        <m:r>
          <m:rPr>
            <m:sty m:val="p"/>
          </m:rPr>
          <m:t>∣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  <m:r>
          <m:rPr>
            <m:sty m:val="p"/>
          </m:rPr>
          <m:t>∝</m:t>
        </m:r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∣</m:t>
        </m:r>
        <m:acc>
          <m:accPr>
            <m:chr m:val="̃"/>
          </m:accPr>
          <m:e>
            <m:r>
              <m:t>θ</m:t>
            </m:r>
          </m:e>
        </m:acc>
        <m:r>
          <m:rPr>
            <m:sty m:val="p"/>
          </m:rPr>
          <m:t>)</m:t>
        </m:r>
        <m:r>
          <m:t> </m:t>
        </m:r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θ</m:t>
            </m:r>
          </m:e>
        </m:acc>
        <m:r>
          <m:rPr>
            <m:sty m:val="p"/>
          </m:rPr>
          <m:t>)</m:t>
        </m:r>
      </m:oMath>
      <w:r>
        <w:t xml:space="preserve">.</w:t>
      </w:r>
      <w:r>
        <w:t xml:space="preserve"> </w:t>
      </w:r>
      <w:r>
        <w:t xml:space="preserve">The normalizing constant is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y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∫</m:t>
          </m:r>
          <m:r>
            <m:t>p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y</m:t>
              </m:r>
            </m:e>
          </m:acc>
          <m:r>
            <m:rPr>
              <m:sty m:val="p"/>
            </m:rPr>
            <m:t>∣</m:t>
          </m:r>
          <m:acc>
            <m:accPr>
              <m:chr m:val="̃"/>
            </m:accPr>
            <m:e>
              <m:r>
                <m:t>θ</m:t>
              </m:r>
            </m:e>
          </m:acc>
          <m:r>
            <m:rPr>
              <m:sty m:val="p"/>
            </m:rPr>
            <m:t>)</m:t>
          </m:r>
          <m:r>
            <m:t> </m:t>
          </m:r>
          <m:r>
            <m:t>p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θ</m:t>
              </m:r>
            </m:e>
          </m:acc>
          <m:r>
            <m:rPr>
              <m:sty m:val="p"/>
            </m:rPr>
            <m:t>)</m:t>
          </m:r>
          <m:r>
            <m:t> </m:t>
          </m:r>
          <m:r>
            <m:t>d</m:t>
          </m:r>
          <m:acc>
            <m:accPr>
              <m:chr m:val="̃"/>
            </m:accPr>
            <m:e>
              <m:r>
                <m:t>θ</m:t>
              </m:r>
            </m:e>
          </m:acc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a high-dimensional integral that typically has no closed form.</w:t>
      </w:r>
      <w:r>
        <w:t xml:space="preserve"> </w:t>
      </w:r>
      <w:r>
        <w:t xml:space="preserve">Computing it numerically becomes infeasible as the dimension of</w:t>
      </w:r>
      <w:r>
        <w:t xml:space="preserve"> </w:t>
      </w:r>
      <m:oMath>
        <m:acc>
          <m:accPr>
            <m:chr m:val="̃"/>
          </m:accPr>
          <m:e>
            <m:r>
              <m:t>θ</m:t>
            </m:r>
          </m:e>
        </m:acc>
      </m:oMath>
      <w:r>
        <w:t xml:space="preserve"> </w:t>
      </w:r>
      <w:r>
        <w:t xml:space="preserve">grows</w:t>
      </w:r>
      <w:r>
        <w:t xml:space="preserve"> </w:t>
      </w:r>
      <w:r>
        <w:t xml:space="preserve">(Dobson and Barnett 2018, chap. 13, p. 287)</w:t>
      </w:r>
      <w:r>
        <w:t xml:space="preserve">.</w:t>
      </w:r>
    </w:p>
    <w:p>
      <w:pPr>
        <w:pStyle w:val="BodyText"/>
      </w:pPr>
      <w:r>
        <w:t xml:space="preserve">MCMC sidesteps this problem:</w:t>
      </w:r>
      <w:r>
        <w:t xml:space="preserve"> </w:t>
      </w:r>
      <w:r>
        <w:t xml:space="preserve">many algorithms require only the</w:t>
      </w:r>
      <w:r>
        <w:t xml:space="preserve"> </w:t>
      </w:r>
      <w:r>
        <w:rPr>
          <w:i/>
          <w:iCs/>
        </w:rPr>
        <w:t xml:space="preserve">ratio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∣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  <m:r>
          <m:rPr>
            <m:sty m:val="p"/>
          </m:rPr>
          <m:t>/</m:t>
        </m:r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θ</m:t>
            </m:r>
          </m:e>
        </m:acc>
        <m:r>
          <m:rPr>
            <m:sty m:val="p"/>
          </m:rPr>
          <m:t>∣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in which the normalizing constant cancels.</w:t>
      </w:r>
    </w:p>
    <w:bookmarkEnd w:id="11"/>
    <w:bookmarkStart w:id="14" w:name="monte-carlo-integration"/>
    <w:p>
      <w:pPr>
        <w:pStyle w:val="Heading2"/>
      </w:pPr>
      <w:r>
        <w:t xml:space="preserve">1.2 Monte Carlo integration</w:t>
      </w:r>
    </w:p>
    <w:p>
      <w:pPr>
        <w:pStyle w:val="FirstParagraph"/>
      </w:pPr>
      <w:r>
        <w:t xml:space="preserve">Before introducing Markov chains,</w:t>
      </w:r>
      <w:r>
        <w:t xml:space="preserve"> </w:t>
      </w:r>
      <w:r>
        <w:t xml:space="preserve">it helps to understand</w:t>
      </w:r>
      <w:r>
        <w:t xml:space="preserve"> </w:t>
      </w:r>
      <w:r>
        <w:rPr>
          <w:b/>
          <w:bCs/>
        </w:rPr>
        <w:t xml:space="preserve">Monte Carlo integration</w:t>
      </w:r>
      <w:r>
        <w:t xml:space="preserve"> </w:t>
      </w:r>
      <w:r>
        <w:t xml:space="preserve">(Dobson and Barnett 2018, chap. 13, p. 290)</w:t>
      </w:r>
      <w:r>
        <w:t xml:space="preserve">.</w:t>
      </w:r>
      <w:r>
        <w:t xml:space="preserve"> </w:t>
      </w:r>
      <w:r>
        <w:t xml:space="preserve">If we could draw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independent samples</w:t>
      </w:r>
      <w:r>
        <w:t xml:space="preserve"> </w:t>
      </w:r>
      <m:oMath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M</m:t>
            </m:r>
            <m:r>
              <m:rPr>
                <m:sty m:val="p"/>
              </m:rPr>
              <m:t>)</m:t>
            </m:r>
          </m:sup>
        </m:sSup>
        <m:r>
          <m:t> </m:t>
        </m:r>
        <m:sSub>
          <m:e>
            <m:r>
              <m:rPr>
                <m:sty m:val="p"/>
              </m:rPr>
              <m:t>∼</m:t>
            </m:r>
          </m:e>
          <m:sub>
            <m:r>
              <m:rPr>
                <m:sty m:val="p"/>
              </m:rPr>
              <m:t>iid</m:t>
            </m:r>
          </m:sub>
        </m:sSub>
        <m:r>
          <m:t> </m:t>
        </m:r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θ</m:t>
            </m:r>
          </m:e>
        </m:acc>
        <m:r>
          <m:rPr>
            <m:sty m:val="p"/>
          </m:rPr>
          <m:t>∣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we could approximate any posterior expectation: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E</m:t>
          </m:r>
          <m:r>
            <m:t>​</m:t>
          </m:r>
          <m:d>
            <m:dPr>
              <m:begChr m:val="["/>
              <m:sepChr m:val=""/>
              <m:endChr m:val="]"/>
              <m:grow/>
            </m:dPr>
            <m:e>
              <m:r>
                <m:t>g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θ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acc>
                <m:accPr>
                  <m:chr m:val="̃"/>
                </m:accPr>
                <m:e>
                  <m:r>
                    <m:t>y</m:t>
                  </m:r>
                </m:e>
              </m:acc>
            </m:e>
          </m:d>
          <m:r>
            <m:t>​</m:t>
          </m:r>
          <m:r>
            <m:rPr>
              <m:sty m:val="p"/>
            </m:rPr>
            <m:t>≈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M</m:t>
              </m:r>
            </m:den>
          </m:f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m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M</m:t>
              </m:r>
            </m:sup>
            <m:e>
              <m:r>
                <m:t>g</m:t>
              </m:r>
            </m:e>
          </m:nary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m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In particular, the posterior mean,</w:t>
      </w:r>
      <w:r>
        <w:t xml:space="preserve"> </w:t>
      </w:r>
      <w:r>
        <w:t xml:space="preserve">posterior variance,</w:t>
      </w:r>
      <w:r>
        <w:t xml:space="preserve"> </w:t>
      </w:r>
      <w:r>
        <w:t xml:space="preserve">and credible-interval endpoints</w:t>
      </w:r>
      <w:r>
        <w:t xml:space="preserve"> </w:t>
      </w:r>
      <w:r>
        <w:t xml:space="preserve">are all special cases of this formula.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3" w:name="exm-mc-bernoulli"/>
          <w:p>
            <w:pPr>
              <w:pStyle w:val="BodyText"/>
            </w:pPr>
            <w:r>
              <w:rPr>
                <w:b/>
                <w:bCs/>
              </w:rPr>
              <w:t xml:space="preserve">Example 1 (Monte Carlo posterior summaries for a Bernoulli model)</w:t>
            </w:r>
            <w:r>
              <w:t xml:space="preserve"> </w:t>
            </w:r>
            <w:r>
              <w:t xml:space="preserve">Recall the Beta-Bernoulli model of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the conjugate-prior example</w:t>
              </w:r>
            </w:hyperlink>
            <w:r>
              <w:t xml:space="preserve">,</w:t>
            </w:r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=</m:t>
              </m:r>
              <m:r>
                <m:t>91</m:t>
              </m:r>
            </m:oMath>
            <w:r>
              <w:t xml:space="preserve"> </w:t>
            </w:r>
            <w:r>
              <w:t xml:space="preserve">observations and</w:t>
            </w:r>
            <w:r>
              <w:t xml:space="preserve"> </w:t>
            </w:r>
            <m:oMath>
              <m:r>
                <m:t>r</m:t>
              </m:r>
              <m:r>
                <m:rPr>
                  <m:sty m:val="p"/>
                </m:rPr>
                <m:t>=</m:t>
              </m:r>
              <m:r>
                <m:t>55</m:t>
              </m:r>
            </m:oMath>
            <w:r>
              <w:t xml:space="preserve"> </w:t>
            </w:r>
            <w:r>
              <w:t xml:space="preserve">successes.</w:t>
            </w:r>
            <w:r>
              <w:t xml:space="preserve"> </w:t>
            </w:r>
            <w:r>
              <w:t xml:space="preserve">The posterior is</w:t>
            </w:r>
            <w:r>
              <w:t xml:space="preserve"> </w:t>
            </w:r>
            <m:oMath>
              <m:r>
                <m:t>π</m:t>
              </m:r>
              <m:r>
                <m:rPr>
                  <m:sty m:val="p"/>
                </m:rPr>
                <m:t>∣</m:t>
              </m:r>
              <m:acc>
                <m:accPr>
                  <m:chr m:val="̃"/>
                </m:accPr>
                <m:e>
                  <m:r>
                    <m:t>y</m:t>
                  </m:r>
                </m:e>
              </m:acc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Beta</m:t>
              </m:r>
              <m:r>
                <m:rPr>
                  <m:sty m:val="p"/>
                </m:rPr>
                <m:t>(</m:t>
              </m:r>
              <m:r>
                <m:t>56</m:t>
              </m:r>
              <m:r>
                <m:rPr>
                  <m:sty m:val="p"/>
                </m:rPr>
                <m:t>,</m:t>
              </m:r>
              <m:r>
                <m:t>37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  <w:r>
              <w:t xml:space="preserve"> </w:t>
            </w:r>
            <w:r>
              <w:t xml:space="preserve">We draw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=</m:t>
              </m:r>
              <m:r>
                <m:t>5</m:t>
              </m:r>
              <m:r>
                <m:rPr>
                  <m:sty m:val="p"/>
                </m:rPr>
                <m:t>,</m:t>
              </m:r>
              <m:r>
                <m:t>000</m:t>
              </m:r>
            </m:oMath>
            <w:r>
              <w:t xml:space="preserve"> </w:t>
            </w:r>
            <w:r>
              <w:t xml:space="preserve">samples and compare Monte Carlo summaries with exact values.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42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n_obs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91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NormalTok"/>
              </w:rPr>
              <w:t xml:space="preserve">r_obs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55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NormalTok"/>
              </w:rPr>
              <w:t xml:space="preserve">a_post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L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r_obs</w:t>
            </w:r>
            <w:r>
              <w:br/>
            </w:r>
            <w:r>
              <w:rPr>
                <w:rStyle w:val="NormalTok"/>
              </w:rPr>
              <w:t xml:space="preserve">b_post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L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n_obs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r_obs</w:t>
            </w:r>
            <w:r>
              <w:br/>
            </w:r>
            <w:r>
              <w:rPr>
                <w:rStyle w:val="NormalTok"/>
              </w:rPr>
              <w:t xml:space="preserve">M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5000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NormalTok"/>
              </w:rPr>
              <w:t xml:space="preserve">pi_mc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rbeta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M, </w:t>
            </w:r>
            <w:r>
              <w:rPr>
                <w:rStyle w:val="AttributeTok"/>
              </w:rPr>
              <w:t xml:space="preserve">shape1 =</w:t>
            </w:r>
            <w:r>
              <w:rPr>
                <w:rStyle w:val="NormalTok"/>
              </w:rPr>
              <w:t xml:space="preserve"> a_post, </w:t>
            </w:r>
            <w:r>
              <w:rPr>
                <w:rStyle w:val="AttributeTok"/>
              </w:rPr>
              <w:t xml:space="preserve">shape2 =</w:t>
            </w:r>
            <w:r>
              <w:rPr>
                <w:rStyle w:val="NormalTok"/>
              </w:rPr>
              <w:t xml:space="preserve"> b_post)</w:t>
            </w:r>
            <w:r>
              <w:br/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exact_mean  =</w:t>
            </w:r>
            <w:r>
              <w:rPr>
                <w:rStyle w:val="NormalTok"/>
              </w:rPr>
              <w:t xml:space="preserve"> a_post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(a_post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b_post),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mc_mean    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(pi_mc),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exact_lower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qbeta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0.025</w:t>
            </w:r>
            <w:r>
              <w:rPr>
                <w:rStyle w:val="NormalTok"/>
              </w:rPr>
              <w:t xml:space="preserve">, a_post, b_post),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mc_lower   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unname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quantile</w:t>
            </w:r>
            <w:r>
              <w:rPr>
                <w:rStyle w:val="NormalTok"/>
              </w:rPr>
              <w:t xml:space="preserve">(pi_mc, </w:t>
            </w:r>
            <w:r>
              <w:rPr>
                <w:rStyle w:val="FloatTok"/>
              </w:rPr>
              <w:t xml:space="preserve">0.025</w:t>
            </w:r>
            <w:r>
              <w:rPr>
                <w:rStyle w:val="NormalTok"/>
              </w:rPr>
              <w:t xml:space="preserve">)),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exact_upper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qbeta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0.975</w:t>
            </w:r>
            <w:r>
              <w:rPr>
                <w:rStyle w:val="NormalTok"/>
              </w:rPr>
              <w:t xml:space="preserve">, a_post, b_post),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mc_upper   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unname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quantile</w:t>
            </w:r>
            <w:r>
              <w:rPr>
                <w:rStyle w:val="NormalTok"/>
              </w:rPr>
              <w:t xml:space="preserve">(pi_mc, </w:t>
            </w:r>
            <w:r>
              <w:rPr>
                <w:rStyle w:val="FloatTok"/>
              </w:rPr>
              <w:t xml:space="preserve">0.975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rPr>
                <w:rStyle w:val="NormalTok"/>
              </w:rPr>
              <w:t xml:space="preserve">), 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 exact_mean     mc_mean exact_lower    mc_lower exact_upper    mc_upper </w:t>
            </w:r>
            <w:r>
              <w:br/>
            </w:r>
            <w:r>
              <w:rPr>
                <w:rStyle w:val="CommentTok"/>
              </w:rPr>
              <w:t xml:space="preserve">#&gt;      0.6022      0.6022      0.5014      0.5011      0.6988      0.7013</w:t>
            </w:r>
          </w:p>
          <w:bookmarkEnd w:id="13"/>
          <w:p/>
        </w:tc>
      </w:tr>
    </w:tbl>
    <w:bookmarkEnd w:id="14"/>
    <w:bookmarkStart w:id="16" w:name="markov-chains"/>
    <w:p>
      <w:pPr>
        <w:pStyle w:val="Heading2"/>
      </w:pPr>
      <w:r>
        <w:t xml:space="preserve">1.3 Markov chains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Markov chain</w:t>
      </w:r>
      <w:r>
        <w:t xml:space="preserve"> </w:t>
      </w:r>
      <w:r>
        <w:t xml:space="preserve">is a sequence of random variables</w:t>
      </w:r>
      <w:r>
        <w:t xml:space="preserve"> </w:t>
      </w:r>
      <m:oMath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2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t xml:space="preserve"> </w:t>
      </w:r>
      <w:r>
        <w:t xml:space="preserve">such that</w:t>
      </w:r>
      <w:r>
        <w:t xml:space="preserve"> </w:t>
      </w:r>
      <w:r>
        <w:t xml:space="preserve">the distribution of</w:t>
      </w:r>
      <w:r>
        <w:t xml:space="preserve"> </w:t>
      </w:r>
      <m:oMath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  <m:r>
              <m:rPr>
                <m:sty m:val="p"/>
              </m:rPr>
              <m:t>)</m:t>
            </m:r>
          </m:sup>
        </m:sSup>
      </m:oMath>
      <w:r>
        <w:t xml:space="preserve"> </w:t>
      </w:r>
      <w:r>
        <w:t xml:space="preserve">depends only on</w:t>
      </w:r>
      <w:r>
        <w:t xml:space="preserve"> </w:t>
      </w:r>
      <m:oMath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)</m:t>
            </m:r>
          </m:sup>
        </m:sSup>
      </m:oMath>
      <w:r>
        <w:t xml:space="preserve"> </w:t>
      </w:r>
      <w:r>
        <w:t xml:space="preserve">(the</w:t>
      </w:r>
      <w:r>
        <w:t xml:space="preserve"> </w:t>
      </w:r>
      <w:r>
        <w:rPr>
          <w:i/>
          <w:iCs/>
        </w:rPr>
        <w:t xml:space="preserve">Markov property</w:t>
      </w:r>
      <w:r>
        <w:t xml:space="preserve">).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5" w:name="def-markov-chain"/>
          <w:p>
            <w:pPr>
              <w:pStyle w:val="BodyText"/>
            </w:pPr>
            <w:r>
              <w:rPr>
                <w:b/>
                <w:bCs/>
              </w:rPr>
              <w:t xml:space="preserve">Definition 1 (Markov chain)</w:t>
            </w:r>
            <w:r>
              <w:t xml:space="preserve"> </w:t>
            </w:r>
            <w:r>
              <w:t xml:space="preserve">A sequence of random variables</w:t>
            </w:r>
            <w:r>
              <w:t xml:space="preserve"> </w:t>
            </w:r>
            <m:oMath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,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2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</m:oMath>
            <w:r>
              <w:t xml:space="preserve"> </w:t>
            </w:r>
            <w:r>
              <w:t xml:space="preserve">is a</w:t>
            </w:r>
            <w:r>
              <w:t xml:space="preserve"> </w:t>
            </w:r>
            <w:r>
              <w:rPr>
                <w:b/>
                <w:bCs/>
              </w:rPr>
              <w:t xml:space="preserve">Markov chain</w:t>
            </w:r>
            <w:r>
              <w:t xml:space="preserve"> </w:t>
            </w:r>
            <w:r>
              <w:t xml:space="preserve">if, for all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p</m:t>
                </m:r>
                <m:r>
                  <m:rPr>
                    <m:sty m:val="p"/>
                  </m:rPr>
                  <m:t>(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θ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∣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θ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,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θ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θ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p</m:t>
                </m:r>
                <m:r>
                  <m:rPr>
                    <m:sty m:val="p"/>
                  </m:rPr>
                  <m:t>(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θ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∣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θ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bookmarkEnd w:id="15"/>
        </w:tc>
      </w:tr>
    </w:tbl>
    <w:p>
      <w:pPr>
        <w:pStyle w:val="FirstParagraph"/>
      </w:pPr>
      <w:r>
        <w:t xml:space="preserve">Under mild conditions,</w:t>
      </w:r>
      <w:r>
        <w:t xml:space="preserve"> </w:t>
      </w:r>
      <w:r>
        <w:t xml:space="preserve">a Markov chain converges to a unique</w:t>
      </w:r>
      <w:r>
        <w:t xml:space="preserve"> </w:t>
      </w:r>
      <w:r>
        <w:rPr>
          <w:b/>
          <w:bCs/>
        </w:rPr>
        <w:t xml:space="preserve">stationary distribution</w:t>
      </w:r>
      <w:r>
        <w:t xml:space="preserve">.</w:t>
      </w:r>
      <w:r>
        <w:t xml:space="preserve"> </w:t>
      </w:r>
      <w:r>
        <w:t xml:space="preserve">MCMC algorithms are designed so that the stationary distribution</w:t>
      </w:r>
      <w:r>
        <w:t xml:space="preserve"> </w:t>
      </w:r>
      <w:r>
        <w:t xml:space="preserve">is the target posterior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θ</m:t>
            </m:r>
          </m:e>
        </m:acc>
        <m:r>
          <m:rPr>
            <m:sty m:val="p"/>
          </m:rPr>
          <m:t>∣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(Dobson and Barnett 2018, chap. 13, p. 291)</w:t>
      </w:r>
      <w:r>
        <w:t xml:space="preserve">.</w:t>
      </w:r>
    </w:p>
    <w:bookmarkEnd w:id="16"/>
    <w:bookmarkStart w:id="19" w:name="the-metropolishastings-algorithm"/>
    <w:p>
      <w:pPr>
        <w:pStyle w:val="Heading2"/>
      </w:pPr>
      <w:r>
        <w:t xml:space="preserve">1.4 The Metropolis–Hastings algorithm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Metropolis–Hastings (MH) algorithm</w:t>
      </w:r>
      <w:r>
        <w:t xml:space="preserve"> </w:t>
      </w:r>
      <w:r>
        <w:t xml:space="preserve">is the most general MCMC method</w:t>
      </w:r>
      <w:r>
        <w:t xml:space="preserve"> </w:t>
      </w:r>
      <w:r>
        <w:t xml:space="preserve">(Dobson and Barnett 2018, chap. 13, p. 293)</w:t>
      </w:r>
      <w:r>
        <w:t xml:space="preserve">.</w:t>
      </w:r>
      <w:r>
        <w:t xml:space="preserve"> </w:t>
      </w:r>
      <w:r>
        <w:t xml:space="preserve">At each iteration</w:t>
      </w:r>
      <w:r>
        <w:t xml:space="preserve"> </w:t>
      </w:r>
      <m:oMath>
        <m:r>
          <m:t>t</m:t>
        </m:r>
      </m:oMath>
      <w:r>
        <w:t xml:space="preserve">:</w:t>
      </w:r>
    </w:p>
    <w:p>
      <w:pPr>
        <w:pStyle w:val="Compact"/>
        <w:numPr>
          <w:ilvl w:val="0"/>
          <w:numId w:val="1001"/>
        </w:numPr>
      </w:pPr>
      <w:r>
        <w:t xml:space="preserve">Propose a new value</w:t>
      </w:r>
      <w:r>
        <w:t xml:space="preserve"> </w:t>
      </w:r>
      <m:oMath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</m:oMath>
      <w:r>
        <w:t xml:space="preserve"> </w:t>
      </w:r>
      <w:r>
        <w:t xml:space="preserve">from a</w:t>
      </w:r>
      <w:r>
        <w:t xml:space="preserve"> </w:t>
      </w:r>
      <w:r>
        <w:rPr>
          <w:b/>
          <w:bCs/>
        </w:rPr>
        <w:t xml:space="preserve">proposal distribution</w:t>
      </w:r>
      <w:r>
        <w:t xml:space="preserve"> </w:t>
      </w:r>
      <m:oMath>
        <m:r>
          <m:t>q</m:t>
        </m:r>
        <m:r>
          <m:rPr>
            <m:sty m:val="p"/>
          </m:rPr>
          <m:t>(</m:t>
        </m:r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∣</m:t>
        </m:r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)</m:t>
        </m:r>
      </m:oMath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Compute the</w:t>
      </w:r>
      <w:r>
        <w:t xml:space="preserve"> </w:t>
      </w:r>
      <w:r>
        <w:rPr>
          <w:b/>
          <w:bCs/>
        </w:rPr>
        <w:t xml:space="preserve">acceptance ratio</w:t>
      </w:r>
    </w:p>
    <w:p>
      <w:pPr>
        <w:pStyle w:val="FirstParagraph"/>
      </w:pPr>
      <m:oMathPara>
        <m:oMathParaPr>
          <m:jc m:val="center"/>
        </m:oMathParaPr>
        <m:oMath>
          <m:r>
            <m:t>α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p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y</m:t>
                  </m:r>
                </m:e>
              </m:acc>
              <m:r>
                <m:rPr>
                  <m:sty m:val="p"/>
                </m:rPr>
                <m:t>∣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  <m:r>
                <m:t> </m:t>
              </m:r>
              <m:r>
                <m:t>p</m:t>
              </m:r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</m:num>
            <m:den>
              <m:r>
                <m:t>p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y</m:t>
                  </m:r>
                </m:e>
              </m:acc>
              <m:r>
                <m:rPr>
                  <m:sty m:val="p"/>
                </m:rPr>
                <m:t>∣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)</m:t>
              </m:r>
              <m:r>
                <m:t> </m:t>
              </m:r>
              <m:r>
                <m:t>p</m:t>
              </m:r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q</m:t>
              </m:r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∣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</m:num>
            <m:den>
              <m:r>
                <m:t>q</m:t>
              </m:r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∣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Compact"/>
        <w:numPr>
          <w:ilvl w:val="0"/>
          <w:numId w:val="1002"/>
        </w:numPr>
      </w:pPr>
      <w:r>
        <w:t xml:space="preserve">Accept the proposal with probability</w:t>
      </w:r>
      <w:r>
        <w:t xml:space="preserve"> </w:t>
      </w:r>
      <m:oMath>
        <m:r>
          <m:rPr>
            <m:sty m:val="p"/>
          </m:rPr>
          <m:t>min</m:t>
        </m:r>
        <m:r>
          <m:rPr>
            <m:sty m:val="p"/>
          </m:rPr>
          <m:t>(</m:t>
        </m:r>
        <m:r>
          <m:t>1</m:t>
        </m:r>
        <m:r>
          <m:rPr>
            <m:sty m:val="p"/>
          </m:rPr>
          <m:t>,</m:t>
        </m:r>
        <m:r>
          <m:t>α</m:t>
        </m:r>
        <m:r>
          <m:rPr>
            <m:sty m:val="p"/>
          </m:rPr>
          <m:t>)</m:t>
        </m:r>
      </m:oMath>
      <w:r>
        <w:t xml:space="preserve">:</w:t>
      </w:r>
      <w:r>
        <w:t xml:space="preserve"> </w:t>
      </w:r>
      <w:r>
        <w:t xml:space="preserve">if accepted, set</w:t>
      </w:r>
      <w:r>
        <w:t xml:space="preserve"> </w:t>
      </w:r>
      <m:oMath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</m:oMath>
      <w:r>
        <w:t xml:space="preserve">.</w:t>
      </w:r>
      <w:r>
        <w:t xml:space="preserve"> </w:t>
      </w:r>
      <w:r>
        <w:t xml:space="preserve">otherwise set</w:t>
      </w:r>
      <w:r>
        <w:t xml:space="preserve"> </w:t>
      </w:r>
      <m:oMath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)</m:t>
            </m:r>
          </m:sup>
        </m:sSup>
      </m:oMath>
      <w:r>
        <w:t xml:space="preserve">.</w:t>
      </w:r>
    </w:p>
    <w:p>
      <w:pPr>
        <w:pStyle w:val="FirstParagraph"/>
      </w:pPr>
      <w:r>
        <w:t xml:space="preserve">Because the normalizing constant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appears in both numerator and denominator,</w:t>
      </w:r>
      <w:r>
        <w:t xml:space="preserve"> </w:t>
      </w:r>
      <w:r>
        <w:t xml:space="preserve">it cancels in the ratio,</w:t>
      </w:r>
      <w:r>
        <w:t xml:space="preserve"> </w:t>
      </w:r>
      <w:r>
        <w:t xml:space="preserve">so only the unnormalized posterior is needed.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7" w:name="def-mh"/>
          <w:p>
            <w:pPr>
              <w:pStyle w:val="BodyText"/>
            </w:pPr>
            <w:r>
              <w:rPr>
                <w:b/>
                <w:bCs/>
              </w:rPr>
              <w:t xml:space="preserve">Definition 2 (Metropolis–Hastings algorithm)</w:t>
            </w:r>
            <w:r>
              <w:t xml:space="preserve"> </w:t>
            </w:r>
            <w:r>
              <w:t xml:space="preserve">Given a target posterior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θ</m:t>
                  </m:r>
                </m:e>
              </m:acc>
              <m:r>
                <m:rPr>
                  <m:sty m:val="p"/>
                </m:rPr>
                <m:t>∣</m:t>
              </m:r>
              <m:acc>
                <m:accPr>
                  <m:chr m:val="̃"/>
                </m:accPr>
                <m:e>
                  <m:r>
                    <m:t>y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∝</m:t>
              </m:r>
              <m:r>
                <m:t>p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y</m:t>
                  </m:r>
                </m:e>
              </m:acc>
              <m:r>
                <m:rPr>
                  <m:sty m:val="p"/>
                </m:rPr>
                <m:t>∣</m:t>
              </m:r>
              <m:acc>
                <m:accPr>
                  <m:chr m:val="̃"/>
                </m:accPr>
                <m:e>
                  <m:r>
                    <m:t>θ</m:t>
                  </m:r>
                </m:e>
              </m:acc>
              <m:r>
                <m:rPr>
                  <m:sty m:val="p"/>
                </m:rPr>
                <m:t>)</m:t>
              </m:r>
              <m:r>
                <m:t> </m:t>
              </m:r>
              <m:r>
                <m:t>p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θ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 a proposal distribution</w:t>
            </w:r>
            <w:r>
              <w:t xml:space="preserve"> </w:t>
            </w:r>
            <m:oMath>
              <m: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∣</m:t>
              </m:r>
              <m:acc>
                <m:accPr>
                  <m:chr m:val="̃"/>
                </m:accPr>
                <m:e>
                  <m:r>
                    <m:t>θ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one step of the</w:t>
            </w:r>
            <w:r>
              <w:t xml:space="preserve"> </w:t>
            </w:r>
            <w:r>
              <w:rPr>
                <w:b/>
                <w:bCs/>
              </w:rPr>
              <w:t xml:space="preserve">MH algorithm</w:t>
            </w:r>
            <w:r>
              <w:t xml:space="preserve"> </w:t>
            </w:r>
            <w:r>
              <w:t xml:space="preserve">proceeds as: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Draw</w:t>
            </w:r>
            <w:r>
              <w:t xml:space="preserve"> </w:t>
            </w:r>
            <m:oMath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∼</m:t>
              </m:r>
              <m: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∣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Compute</w:t>
            </w:r>
            <w:r>
              <w:t xml:space="preserve"> </w:t>
            </w:r>
            <m:oMath>
              <m:r>
                <m:t>α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min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 </m:t>
                  </m:r>
                  <m:f>
                    <m:fPr>
                      <m:type m:val="bar"/>
                    </m:fPr>
                    <m:num>
                      <m: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acc>
                        <m:accPr>
                          <m:chr m:val="̃"/>
                        </m:accPr>
                        <m:e>
                          <m:r>
                            <m:t>y</m:t>
                          </m:r>
                        </m:e>
                      </m:acc>
                      <m:r>
                        <m:rPr>
                          <m:sty m:val="p"/>
                        </m:rPr>
                        <m:t>∣</m:t>
                      </m:r>
                      <m:sSup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*</m:t>
                          </m:r>
                        </m:sup>
                      </m:sSup>
                      <m:r>
                        <m:rPr>
                          <m:sty m:val="p"/>
                        </m:rPr>
                        <m:t>)</m:t>
                      </m:r>
                      <m:r>
                        <m:t> </m:t>
                      </m:r>
                      <m: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sSup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*</m:t>
                          </m:r>
                        </m:sup>
                      </m:sSup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acc>
                        <m:accPr>
                          <m:chr m:val="̃"/>
                        </m:accPr>
                        <m:e>
                          <m:r>
                            <m:t>y</m:t>
                          </m:r>
                        </m:e>
                      </m:acc>
                      <m:r>
                        <m:rPr>
                          <m:sty m:val="p"/>
                        </m:rPr>
                        <m:t>∣</m:t>
                      </m:r>
                      <m:sSup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t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sup>
                      </m:sSup>
                      <m:r>
                        <m:rPr>
                          <m:sty m:val="p"/>
                        </m:rPr>
                        <m:t>)</m:t>
                      </m:r>
                      <m:r>
                        <m:t> </m:t>
                      </m:r>
                      <m: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sSup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t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sup>
                      </m:sSup>
                      <m:r>
                        <m:rPr>
                          <m:sty m:val="p"/>
                        </m:rPr>
                        <m:t>)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q</m:t>
                      </m:r>
                      <m:r>
                        <m:rPr>
                          <m:sty m:val="p"/>
                        </m:rPr>
                        <m:t>(</m:t>
                      </m:r>
                      <m:sSup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t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sup>
                      </m:sSup>
                      <m:r>
                        <m:rPr>
                          <m:sty m:val="p"/>
                        </m:rPr>
                        <m:t>∣</m:t>
                      </m:r>
                      <m:sSup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*</m:t>
                          </m:r>
                        </m:sup>
                      </m:sSup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t>q</m:t>
                      </m:r>
                      <m:r>
                        <m:rPr>
                          <m:sty m:val="p"/>
                        </m:rPr>
                        <m:t>(</m:t>
                      </m:r>
                      <m:sSup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*</m:t>
                          </m:r>
                        </m:sup>
                      </m:sSup>
                      <m:r>
                        <m:rPr>
                          <m:sty m:val="p"/>
                        </m:rPr>
                        <m:t>∣</m:t>
                      </m:r>
                      <m:sSup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t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sup>
                      </m:sSup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Set</w:t>
            </w:r>
            <w:r>
              <w:t xml:space="preserve"> </w:t>
            </w:r>
            <m:oMath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oMath>
            <w:r>
              <w:t xml:space="preserve"> </w:t>
            </w:r>
            <w:r>
              <w:t xml:space="preserve">with probability</w:t>
            </w:r>
            <w:r>
              <w:t xml:space="preserve"> </w:t>
            </w:r>
            <m:oMath>
              <m:r>
                <m:t>α</m:t>
              </m:r>
            </m:oMath>
            <w:r>
              <w:t xml:space="preserve">,</w:t>
            </w:r>
            <w:r>
              <w:t xml:space="preserve"> </w:t>
            </w:r>
            <w:r>
              <w:t xml:space="preserve">else</w:t>
            </w:r>
            <w:r>
              <w:t xml:space="preserve"> </w:t>
            </w:r>
            <m:oMath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</m:sSup>
            </m:oMath>
            <w:r>
              <w:t xml:space="preserve">.</w:t>
            </w:r>
          </w:p>
          <w:bookmarkEnd w:id="17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8" w:name="exm-mh-bernoulli"/>
          <w:p>
            <w:pPr>
              <w:pStyle w:val="BodyText"/>
            </w:pPr>
            <w:r>
              <w:rPr>
                <w:b/>
                <w:bCs/>
              </w:rPr>
              <w:t xml:space="preserve">Example 2 (Metropolis–Hastings for a Bernoulli model)</w:t>
            </w:r>
            <w:r>
              <w:t xml:space="preserve"> </w:t>
            </w:r>
            <w:r>
              <w:t xml:space="preserve">We implement the MH algorithm for the same Beta-Bernoulli model</w:t>
            </w:r>
            <w:r>
              <w:t xml:space="preserve"> </w:t>
            </w:r>
            <w:r>
              <w:t xml:space="preserve">as in</w:t>
            </w:r>
            <w:r>
              <w:t xml:space="preserve"> </w:t>
            </w:r>
            <w:hyperlink w:anchor="exm-mc-bernoulli">
              <w:r>
                <w:rPr>
                  <w:rStyle w:val="Hyperlink"/>
                </w:rPr>
                <w:t xml:space="preserve">Example 1</w:t>
              </w:r>
            </w:hyperlink>
            <w:r>
              <w:t xml:space="preserve">.</w:t>
            </w:r>
            <w:r>
              <w:t xml:space="preserve"> </w:t>
            </w:r>
            <w:r>
              <w:t xml:space="preserve">We use a normal random-walk proposal</w:t>
            </w:r>
            <w:r>
              <w:t xml:space="preserve"> </w:t>
            </w:r>
            <m:oMath>
              <m:sSup>
                <m:e>
                  <m:r>
                    <m:t>π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π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+</m:t>
              </m:r>
              <m:r>
                <m:t>ε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ε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  <m:r>
                <m:t>​</m:t>
              </m:r>
            </m:oMath>
            <w:r>
              <w:t xml:space="preserve">.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log_post_unnorm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(pi, r, n) {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ntrolFlowTok"/>
              </w:rPr>
              <w:t xml:space="preserve">if</w:t>
            </w:r>
            <w:r>
              <w:rPr>
                <w:rStyle w:val="NormalTok"/>
              </w:rPr>
              <w:t xml:space="preserve"> (pi </w:t>
            </w:r>
            <w:r>
              <w:rPr>
                <w:rStyle w:val="SpecialCharTok"/>
              </w:rPr>
              <w:t xml:space="preserve">&lt;=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||</w:t>
            </w:r>
            <w:r>
              <w:rPr>
                <w:rStyle w:val="NormalTok"/>
              </w:rPr>
              <w:t xml:space="preserve"> pi </w:t>
            </w:r>
            <w:r>
              <w:rPr>
                <w:rStyle w:val="SpecialCharTok"/>
              </w:rPr>
              <w:t xml:space="preserve">&gt;=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 </w:t>
            </w:r>
            <w:r>
              <w:rPr>
                <w:rStyle w:val="FunctionTok"/>
              </w:rPr>
              <w:t xml:space="preserve">return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ConstantTok"/>
              </w:rPr>
              <w:t xml:space="preserve">Inf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r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</w:t>
            </w:r>
            <w:r>
              <w:rPr>
                <w:rStyle w:val="NormalTok"/>
              </w:rPr>
              <w:t xml:space="preserve">(pi)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(n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r)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pi)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mh_bernoulli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(n_iter, r, n, </w:t>
            </w:r>
            <w:r>
              <w:rPr>
                <w:rStyle w:val="AttributeTok"/>
              </w:rPr>
              <w:t xml:space="preserve">pi_init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sigma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0.05</w:t>
            </w:r>
            <w:r>
              <w:rPr>
                <w:rStyle w:val="NormalTok"/>
              </w:rPr>
              <w:t xml:space="preserve">) {</w:t>
            </w:r>
            <w:r>
              <w:br/>
            </w:r>
            <w:r>
              <w:rPr>
                <w:rStyle w:val="NormalTok"/>
              </w:rPr>
              <w:t xml:space="preserve">  chain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numeric</w:t>
            </w:r>
            <w:r>
              <w:rPr>
                <w:rStyle w:val="NormalTok"/>
              </w:rPr>
              <w:t xml:space="preserve">(n_iter)</w:t>
            </w:r>
            <w:r>
              <w:br/>
            </w:r>
            <w:r>
              <w:rPr>
                <w:rStyle w:val="NormalTok"/>
              </w:rPr>
              <w:t xml:space="preserve">  chain[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]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pi_init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ntrolFlowTok"/>
              </w:rPr>
              <w:t xml:space="preserve">for</w:t>
            </w:r>
            <w:r>
              <w:rPr>
                <w:rStyle w:val="NormalTok"/>
              </w:rPr>
              <w:t xml:space="preserve"> (i </w:t>
            </w:r>
            <w:r>
              <w:rPr>
                <w:rStyle w:val="ControlFlowTok"/>
              </w:rPr>
              <w:t xml:space="preserve">in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seq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 n_iter)) {</w:t>
            </w:r>
            <w:r>
              <w:br/>
            </w:r>
            <w:r>
              <w:rPr>
                <w:rStyle w:val="NormalTok"/>
              </w:rPr>
              <w:t xml:space="preserve">    pi_curr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chain[i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]</w:t>
            </w:r>
            <w:r>
              <w:br/>
            </w:r>
            <w:r>
              <w:rPr>
                <w:rStyle w:val="NormalTok"/>
              </w:rPr>
              <w:t xml:space="preserve">    pi_prop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pi_curr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sd =</w:t>
            </w:r>
            <w:r>
              <w:rPr>
                <w:rStyle w:val="NormalTok"/>
              </w:rPr>
              <w:t xml:space="preserve"> sigma)</w:t>
            </w:r>
            <w:r>
              <w:br/>
            </w:r>
            <w:r>
              <w:rPr>
                <w:rStyle w:val="NormalTok"/>
              </w:rPr>
              <w:t xml:space="preserve">    log_alpha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log_post_unnorm</w:t>
            </w:r>
            <w:r>
              <w:rPr>
                <w:rStyle w:val="NormalTok"/>
              </w:rPr>
              <w:t xml:space="preserve">(pi_prop, r, n) </w:t>
            </w:r>
            <w:r>
              <w:rPr>
                <w:rStyle w:val="SpecialCharTok"/>
              </w:rPr>
              <w:t xml:space="preserve">-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FunctionTok"/>
              </w:rPr>
              <w:t xml:space="preserve">log_post_unnorm</w:t>
            </w:r>
            <w:r>
              <w:rPr>
                <w:rStyle w:val="NormalTok"/>
              </w:rPr>
              <w:t xml:space="preserve">(pi_curr, r, n)</w:t>
            </w:r>
            <w:r>
              <w:br/>
            </w:r>
            <w:r>
              <w:rPr>
                <w:rStyle w:val="NormalTok"/>
              </w:rPr>
              <w:t xml:space="preserve">    chain[i]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if</w:t>
            </w:r>
            <w:r>
              <w:rPr>
                <w:rStyle w:val="NormalTok"/>
              </w:rPr>
              <w:t xml:space="preserve"> (</w:t>
            </w:r>
            <w:r>
              <w:rPr>
                <w:rStyle w:val="FunctionTok"/>
              </w:rPr>
              <w:t xml:space="preserve">log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runif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&lt;</w:t>
            </w:r>
            <w:r>
              <w:rPr>
                <w:rStyle w:val="NormalTok"/>
              </w:rPr>
              <w:t xml:space="preserve"> log_alpha) pi_prop </w:t>
            </w:r>
            <w:r>
              <w:rPr>
                <w:rStyle w:val="ControlFlowTok"/>
              </w:rPr>
              <w:t xml:space="preserve">else</w:t>
            </w:r>
            <w:r>
              <w:rPr>
                <w:rStyle w:val="NormalTok"/>
              </w:rPr>
              <w:t xml:space="preserve"> pi_curr</w:t>
            </w:r>
            <w:r>
              <w:br/>
            </w:r>
            <w:r>
              <w:rPr>
                <w:rStyle w:val="NormalTok"/>
              </w:rPr>
              <w:t xml:space="preserve">  }</w:t>
            </w:r>
            <w:r>
              <w:br/>
            </w:r>
            <w:r>
              <w:rPr>
                <w:rStyle w:val="NormalTok"/>
              </w:rPr>
              <w:t xml:space="preserve">  chain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mh_chain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mh_bernoulli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n_iter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5000</w:t>
            </w:r>
            <w:r>
              <w:rPr>
                <w:rStyle w:val="NormalTok"/>
              </w:rPr>
              <w:t xml:space="preserve">L, </w:t>
            </w:r>
            <w:r>
              <w:rPr>
                <w:rStyle w:val="AttributeTok"/>
              </w:rPr>
              <w:t xml:space="preserve">r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55</w:t>
            </w:r>
            <w:r>
              <w:rPr>
                <w:rStyle w:val="NormalTok"/>
              </w:rPr>
              <w:t xml:space="preserve">L,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91</w:t>
            </w:r>
            <w:r>
              <w:rPr>
                <w:rStyle w:val="NormalTok"/>
              </w:rPr>
              <w:t xml:space="preserve">L)</w:t>
            </w:r>
          </w:p>
          <w:bookmarkEnd w:id="18"/>
          <w:p/>
        </w:tc>
      </w:tr>
    </w:tbl>
    <w:bookmarkEnd w:id="19"/>
    <w:bookmarkStart w:id="20" w:name="the-gibbs-sampler"/>
    <w:p>
      <w:pPr>
        <w:pStyle w:val="Heading2"/>
      </w:pPr>
      <w:r>
        <w:t xml:space="preserve">1.5 The Gibbs sampler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Gibbs sampler</w:t>
      </w:r>
      <w:r>
        <w:t xml:space="preserve"> </w:t>
      </w:r>
      <w:r>
        <w:t xml:space="preserve">is a special case of the MH algorithm</w:t>
      </w:r>
      <w:r>
        <w:t xml:space="preserve"> </w:t>
      </w:r>
      <w:r>
        <w:t xml:space="preserve">for multiparameter models</w:t>
      </w:r>
      <w:r>
        <w:t xml:space="preserve"> </w:t>
      </w:r>
      <w:r>
        <w:t xml:space="preserve">(Dobson and Barnett 2018, chap. 13, p. 300)</w:t>
      </w:r>
      <w:r>
        <w:t xml:space="preserve">.</w:t>
      </w:r>
      <w:r>
        <w:t xml:space="preserve"> </w:t>
      </w:r>
      <w:r>
        <w:t xml:space="preserve">When</w:t>
      </w:r>
      <w:r>
        <w:t xml:space="preserve"> </w:t>
      </w:r>
      <m:oMath>
        <m:acc>
          <m:accPr>
            <m:chr m:val="̃"/>
          </m:accPr>
          <m:e>
            <m:r>
              <m:t>θ</m:t>
            </m:r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sSub>
          <m:e>
            <m:r>
              <m:t>θ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θ</m:t>
            </m:r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each component is updated in turn by sampling from its</w:t>
      </w:r>
      <w:r>
        <w:t xml:space="preserve"> </w:t>
      </w:r>
      <w:r>
        <w:rPr>
          <w:b/>
          <w:bCs/>
        </w:rPr>
        <w:t xml:space="preserve">full conditional distribution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sSub>
          <m:e>
            <m:r>
              <m:t>θ</m:t>
            </m:r>
          </m:e>
          <m:sub>
            <m:r>
              <m:t>k</m:t>
            </m:r>
          </m:sub>
        </m:sSub>
        <m:r>
          <m:rPr>
            <m:sty m:val="p"/>
          </m:rPr>
          <m:t>∣</m:t>
        </m:r>
        <m:sSub>
          <m:e>
            <m:r>
              <m:t>θ</m:t>
            </m:r>
          </m:e>
          <m:sub>
            <m:r>
              <m:rPr>
                <m:sty m:val="p"/>
              </m:rPr>
              <m:t>−</m:t>
            </m:r>
            <m:r>
              <m:t>k</m:t>
            </m:r>
          </m:sub>
        </m:sSub>
        <m:r>
          <m:rPr>
            <m:sty m:val="p"/>
          </m:rPr>
          <m:t>,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where</w:t>
      </w:r>
      <w:r>
        <w:t xml:space="preserve"> </w:t>
      </w:r>
      <m:oMath>
        <m:sSub>
          <m:e>
            <m:r>
              <m:t>θ</m:t>
            </m:r>
          </m:e>
          <m:sub>
            <m:r>
              <m:rPr>
                <m:sty m:val="p"/>
              </m:rPr>
              <m:t>−</m:t>
            </m:r>
            <m:r>
              <m:t>k</m:t>
            </m:r>
          </m:sub>
        </m:sSub>
      </m:oMath>
      <w:r>
        <w:t xml:space="preserve"> </w:t>
      </w:r>
      <w:r>
        <w:t xml:space="preserve">denotes all components except</w:t>
      </w:r>
      <w:r>
        <w:t xml:space="preserve"> </w:t>
      </w:r>
      <m:oMath>
        <m:sSub>
          <m:e>
            <m:r>
              <m:t>θ</m:t>
            </m:r>
          </m:e>
          <m:sub>
            <m:r>
              <m:t>k</m:t>
            </m:r>
          </m:sub>
        </m:sSub>
      </m:oMath>
      <w:r>
        <w:t xml:space="preserve">.</w:t>
      </w:r>
      <w:r>
        <w:t xml:space="preserve"> </w:t>
      </w:r>
      <w:r>
        <w:t xml:space="preserve">The resulting proposal is always accepted (acceptance probability 1).</w:t>
      </w:r>
      <w:r>
        <w:t xml:space="preserve"> </w:t>
      </w:r>
      <w:r>
        <w:t xml:space="preserve">Gibbs sampling requires that the full conditionals are available in closed form.</w:t>
      </w:r>
      <w:r>
        <w:t xml:space="preserve"> </w:t>
      </w:r>
      <w:r>
        <w:t xml:space="preserve">JAGS (Just Another Gibbs Sampler) automates this approach for a wide class of models</w:t>
      </w:r>
      <w:r>
        <w:t xml:space="preserve"> </w:t>
      </w:r>
      <w:r>
        <w:t xml:space="preserve">(Dobson and Barnett 2018, chap. 13)</w:t>
      </w:r>
      <w:r>
        <w:t xml:space="preserve">.</w:t>
      </w:r>
    </w:p>
    <w:bookmarkEnd w:id="20"/>
    <w:bookmarkStart w:id="22" w:name="sec-burnin"/>
    <w:p>
      <w:pPr>
        <w:pStyle w:val="Heading2"/>
      </w:pPr>
      <w:r>
        <w:t xml:space="preserve">1.6 Burn-in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1" w:name="def-burnin"/>
          <w:p>
            <w:pPr>
              <w:pStyle w:val="BodyText"/>
            </w:pPr>
            <w:r>
              <w:rPr>
                <w:b/>
                <w:bCs/>
              </w:rPr>
              <w:t xml:space="preserve">Definition 3 (burn-in)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burn-in</w:t>
            </w:r>
            <w:r>
              <w:t xml:space="preserve"> </w:t>
            </w:r>
            <w:r>
              <w:t xml:space="preserve">period is the initial segment of an MCMC chain</w:t>
            </w:r>
            <w:r>
              <w:t xml:space="preserve"> </w:t>
            </w:r>
            <w:r>
              <w:t xml:space="preserve">that is discarded before posterior summaries are computed.</w:t>
            </w:r>
            <w:r>
              <w:t xml:space="preserve"> </w:t>
            </w:r>
            <w:r>
              <w:t xml:space="preserve">During burn-in, the chain is moving toward the stationary distribution</w:t>
            </w:r>
            <w:r>
              <w:t xml:space="preserve"> </w:t>
            </w:r>
            <w:r>
              <w:t xml:space="preserve">and does not yet represent draws from the posterior</w:t>
            </w:r>
            <w:r>
              <w:t xml:space="preserve"> </w:t>
            </w:r>
            <w:r>
              <w:t xml:space="preserve">(Dobson and Barnett 2018, chap. 13, p. 301)</w:t>
            </w:r>
            <w:r>
              <w:t xml:space="preserve">.</w:t>
            </w:r>
          </w:p>
          <w:bookmarkEnd w:id="21"/>
        </w:tc>
      </w:tr>
    </w:tbl>
    <w:p>
      <w:pPr>
        <w:pStyle w:val="BodyText"/>
      </w:pPr>
      <w:r>
        <w:t xml:space="preserve">The length of the burn-in period is chosen by inspection of trace plots.</w:t>
      </w:r>
      <w:r>
        <w:t xml:space="preserve"> </w:t>
      </w:r>
      <w:r>
        <w:t xml:space="preserve">A common default is to discard the first 10–20% of iterations.</w:t>
      </w:r>
    </w:p>
    <w:bookmarkEnd w:id="22"/>
    <w:bookmarkStart w:id="31" w:name="sec-mcmc-diagnostics"/>
    <w:p>
      <w:pPr>
        <w:pStyle w:val="Heading2"/>
      </w:pPr>
      <w:r>
        <w:t xml:space="preserve">1.7 Convergence diagnostics</w:t>
      </w:r>
    </w:p>
    <w:p>
      <w:pPr>
        <w:pStyle w:val="FirstParagraph"/>
      </w:pPr>
      <w:r>
        <w:t xml:space="preserve">Because MCMC chains are correlated and may take time to reach stationarity,</w:t>
      </w:r>
      <w:r>
        <w:t xml:space="preserve"> </w:t>
      </w:r>
      <w:r>
        <w:t xml:space="preserve">we must assess whether the chain has converged before using it for inference</w:t>
      </w:r>
      <w:r>
        <w:t xml:space="preserve"> </w:t>
      </w:r>
      <w:r>
        <w:t xml:space="preserve">(Dobson and Barnett 2018, chap. 13, p. 302)</w:t>
      </w:r>
      <w:r>
        <w:t xml:space="preserve">.</w:t>
      </w:r>
    </w:p>
    <w:bookmarkStart w:id="28" w:name="trace-plots"/>
    <w:p>
      <w:pPr>
        <w:pStyle w:val="Heading3"/>
      </w:pPr>
      <w:r>
        <w:t xml:space="preserve">1.7.1 Trace plots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trace plot</w:t>
      </w:r>
      <w:r>
        <w:t xml:space="preserve"> </w:t>
      </w:r>
      <w:r>
        <w:t xml:space="preserve">graphs the sampled value</w:t>
      </w:r>
      <w:r>
        <w:t xml:space="preserve"> </w:t>
      </w:r>
      <m:oMath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)</m:t>
            </m:r>
          </m:sup>
        </m:sSup>
      </m:oMath>
      <w:r>
        <w:t xml:space="preserve"> </w:t>
      </w:r>
      <w:r>
        <w:t xml:space="preserve">against iteration</w:t>
      </w:r>
      <w:r>
        <w:t xml:space="preserve"> </w:t>
      </w:r>
      <m:oMath>
        <m:r>
          <m:t>t</m:t>
        </m:r>
      </m:oMath>
      <w:r>
        <w:t xml:space="preserve">.</w:t>
      </w:r>
      <w:r>
        <w:t xml:space="preserve"> </w:t>
      </w:r>
      <w:r>
        <w:t xml:space="preserve">A well-mixed chain shows rapid oscillation around a stable mean,</w:t>
      </w:r>
      <w:r>
        <w:t xml:space="preserve"> </w:t>
      </w:r>
      <w:r>
        <w:t xml:space="preserve">with no obvious trends or stuck regions.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7" w:name="exm-trace-plot"/>
          <w:p>
            <w:pPr>
              <w:pStyle w:val="BodyText"/>
            </w:pPr>
            <w:r>
              <w:rPr>
                <w:b/>
                <w:bCs/>
              </w:rPr>
              <w:t xml:space="preserve">Example 3 (Trace plot for MH chain)</w:t>
            </w:r>
            <w:r>
              <w:t xml:space="preserve"> </w:t>
            </w:r>
            <w:r>
              <w:t xml:space="preserve"> 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26" w:name="fig-trace-mh"/>
                <w:p>
                  <w:pPr>
                    <w:pStyle w:val="SourceCode"/>
                    <w:jc w:val="center"/>
                  </w:pPr>
                  <w:r>
                    <w:rPr>
                      <w:rStyle w:val="NormalTok"/>
                    </w:rPr>
                    <w:t xml:space="preserve">burnin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500</w:t>
                  </w:r>
                  <w:r>
                    <w:rPr>
                      <w:rStyle w:val="NormalTok"/>
                    </w:rPr>
                    <w:t xml:space="preserve">L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df_chain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data.frame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iteration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seq_along</w:t>
                  </w:r>
                  <w:r>
                    <w:rPr>
                      <w:rStyle w:val="NormalTok"/>
                    </w:rPr>
                    <w:t xml:space="preserve">(mh_chain), </w:t>
                  </w:r>
                  <w:r>
                    <w:rPr>
                      <w:rStyle w:val="AttributeTok"/>
                    </w:rPr>
                    <w:t xml:space="preserve">pi =</w:t>
                  </w:r>
                  <w:r>
                    <w:rPr>
                      <w:rStyle w:val="NormalTok"/>
                    </w:rPr>
                    <w:t xml:space="preserve"> mh_chain)</w:t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ggplot</w:t>
                  </w:r>
                  <w:r>
                    <w:rPr>
                      <w:rStyle w:val="NormalTok"/>
                    </w:rPr>
                    <w:t xml:space="preserve">(df_chain, </w:t>
                  </w:r>
                  <w:r>
                    <w:rPr>
                      <w:rStyle w:val="FunctionTok"/>
                    </w:rPr>
                    <w:t xml:space="preserve">aes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iteration,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pi))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geom_line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linewidth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0.2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alpha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0.7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geom_vline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xintercept =</w:t>
                  </w:r>
                  <w:r>
                    <w:rPr>
                      <w:rStyle w:val="NormalTok"/>
                    </w:rPr>
                    <w:t xml:space="preserve"> burnin, </w:t>
                  </w:r>
                  <w:r>
                    <w:rPr>
                      <w:rStyle w:val="AttributeTok"/>
                    </w:rPr>
                    <w:t xml:space="preserve">linetype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"dashed"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colour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"red"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labs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"Iteration"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expression</w:t>
                  </w:r>
                  <w:r>
                    <w:rPr>
                      <w:rStyle w:val="NormalTok"/>
                    </w:rPr>
                    <w:t xml:space="preserve">(pi))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theme_bw</w:t>
                  </w:r>
                  <w:r>
                    <w:rPr>
                      <w:rStyle w:val="NormalTok"/>
                    </w:rPr>
                    <w:t xml:space="preserve">()</w:t>
                  </w:r>
                </w:p>
                <w:p>
                  <w:pPr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24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mcmc-methods_files/figure-docx/unnamed-chunk-1-1.png" id="25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1: MH chain trace plot; dashed line marks end of burn-in.</w:t>
                  </w:r>
                </w:p>
                <w:bookmarkEnd w:id="26"/>
              </w:tc>
            </w:tr>
          </w:tbl>
          <w:bookmarkEnd w:id="27"/>
          <w:p/>
        </w:tc>
      </w:tr>
    </w:tbl>
    <w:bookmarkEnd w:id="28"/>
    <w:bookmarkStart w:id="29" w:name="autocorrelation-function-acf"/>
    <w:p>
      <w:pPr>
        <w:pStyle w:val="Heading3"/>
      </w:pPr>
      <w:r>
        <w:t xml:space="preserve">1.7.2 Autocorrelation function (ACF)</w:t>
      </w:r>
    </w:p>
    <w:p>
      <w:pPr>
        <w:pStyle w:val="FirstParagraph"/>
      </w:pPr>
      <w:r>
        <w:t xml:space="preserve">Because successive draws in an MCMC chain are correlated,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effective sample size</w:t>
      </w:r>
      <w:r>
        <w:t xml:space="preserve"> </w:t>
      </w:r>
      <w:r>
        <w:t xml:space="preserve">(ESS) is less than the number of iterations.</w:t>
      </w:r>
      <w:r>
        <w:t xml:space="preserve"> </w:t>
      </w:r>
      <w:r>
        <w:t xml:space="preserve">The autocorrelation function (ACF) quantifies this dependence.</w:t>
      </w:r>
      <w:r>
        <w:t xml:space="preserve"> </w:t>
      </w:r>
      <w:r>
        <w:t xml:space="preserve">A rapidly decaying ACF indicates good mixing.</w:t>
      </w:r>
    </w:p>
    <w:bookmarkEnd w:id="29"/>
    <w:bookmarkStart w:id="30" w:name="X3b1bb3c64f7511905e72c614ff47d67af76e733"/>
    <w:p>
      <w:pPr>
        <w:pStyle w:val="Heading3"/>
      </w:pPr>
      <w:r>
        <w:t xml:space="preserve">1.7.3 Multiple chains and the Gelman–Rubin statistic</w:t>
      </w:r>
    </w:p>
    <w:p>
      <w:pPr>
        <w:pStyle w:val="FirstParagraph"/>
      </w:pPr>
      <w:r>
        <w:t xml:space="preserve">Running multiple chains from different starting points</w:t>
      </w:r>
      <w:r>
        <w:t xml:space="preserve"> </w:t>
      </w:r>
      <w:r>
        <w:t xml:space="preserve">provides a stronger convergence check than a single chain.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Gelman–Rubin statistic</w:t>
      </w:r>
      <w:r>
        <w:t xml:space="preserve"> </w:t>
      </w:r>
      <m:oMath>
        <m:acc>
          <m:accPr>
            <m:chr m:val="̂"/>
          </m:accPr>
          <m:e>
            <m:r>
              <m:t>R</m:t>
            </m:r>
          </m:e>
        </m:acc>
      </m:oMath>
      <w:r>
        <w:t xml:space="preserve"> </w:t>
      </w:r>
      <w:r>
        <w:t xml:space="preserve">compares within-chain and between-chain variance.</w:t>
      </w:r>
      <w:r>
        <w:t xml:space="preserve"> </w:t>
      </w:r>
      <m:oMath>
        <m:acc>
          <m:accPr>
            <m:chr m:val="̂"/>
          </m:accPr>
          <m:e>
            <m:r>
              <m:t>R</m:t>
            </m:r>
          </m:e>
        </m:acc>
        <m:r>
          <m:rPr>
            <m:sty m:val="p"/>
          </m:rPr>
          <m:t>≈</m:t>
        </m:r>
        <m:r>
          <m:t>1</m:t>
        </m:r>
      </m:oMath>
      <w:r>
        <w:t xml:space="preserve"> </w:t>
      </w:r>
      <w:r>
        <w:t xml:space="preserve">indicates convergence</w:t>
      </w:r>
      <w:r>
        <w:t xml:space="preserve"> </w:t>
      </w:r>
      <w:r>
        <w:t xml:space="preserve">(Dobson and Barnett 2018, chap. 13, p. 304)</w:t>
      </w:r>
      <w:r>
        <w:t xml:space="preserve">.</w:t>
      </w:r>
      <w:r>
        <w:t xml:space="preserve"> </w:t>
      </w:r>
      <w:r>
        <w:t xml:space="preserve">A common rule of thumb is</w:t>
      </w:r>
      <w:r>
        <w:t xml:space="preserve"> </w:t>
      </w:r>
      <m:oMath>
        <m:acc>
          <m:accPr>
            <m:chr m:val="̂"/>
          </m:accPr>
          <m:e>
            <m:r>
              <m:t>R</m:t>
            </m:r>
          </m:e>
        </m:acc>
        <m:r>
          <m:rPr>
            <m:sty m:val="p"/>
          </m:rPr>
          <m:t>&lt;</m:t>
        </m:r>
        <m:r>
          <m:t>1.1</m:t>
        </m:r>
      </m:oMath>
      <w:r>
        <w:t xml:space="preserve">.</w:t>
      </w:r>
    </w:p>
    <w:bookmarkEnd w:id="30"/>
    <w:bookmarkEnd w:id="31"/>
    <w:bookmarkStart w:id="33" w:name="posterior-inference-from-mcmc-samples"/>
    <w:p>
      <w:pPr>
        <w:pStyle w:val="Heading2"/>
      </w:pPr>
      <w:r>
        <w:t xml:space="preserve">1.8 Posterior inference from MCMC samples</w:t>
      </w:r>
    </w:p>
    <w:p>
      <w:pPr>
        <w:pStyle w:val="FirstParagraph"/>
      </w:pPr>
      <w:r>
        <w:t xml:space="preserve">After discarding burn-in,</w:t>
      </w:r>
      <w:r>
        <w:t xml:space="preserve"> </w:t>
      </w:r>
      <w:r>
        <w:t xml:space="preserve">the remaining chain</w:t>
      </w:r>
      <w:r>
        <w:t xml:space="preserve"> </w:t>
      </w:r>
      <m:oMath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B</m:t>
            </m:r>
            <m:r>
              <m:rPr>
                <m:sty m:val="p"/>
              </m:rPr>
              <m:t>+</m:t>
            </m:r>
            <m: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)</m:t>
            </m:r>
          </m:sup>
        </m:sSup>
      </m:oMath>
      <w:r>
        <w:t xml:space="preserve"> </w:t>
      </w:r>
      <w:r>
        <w:t xml:space="preserve">is treated as a (correlated) sample from the posterior.</w:t>
      </w:r>
      <w:r>
        <w:t xml:space="preserve"> </w:t>
      </w:r>
      <w:r>
        <w:t xml:space="preserve">Posterior summaries are computed as sample statistics: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Posterior mean</w:t>
      </w:r>
      <w:r>
        <w:t xml:space="preserve">:</w:t>
      </w:r>
      <w:r>
        <w:t xml:space="preserve"> </w:t>
      </w:r>
      <m:oMath>
        <m:acc>
          <m:accPr>
            <m:chr m:val="̂"/>
          </m:accPr>
          <m:e>
            <m:r>
              <m:t>μ</m:t>
            </m:r>
          </m:e>
        </m:acc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T</m:t>
            </m:r>
            <m:r>
              <m:rPr>
                <m:sty m:val="p"/>
              </m:rPr>
              <m:t>−</m:t>
            </m:r>
            <m:r>
              <m:t>B</m:t>
            </m:r>
          </m:den>
        </m:f>
        <m:nary>
          <m:naryPr>
            <m:chr m:val="∑"/>
            <m:limLoc m:val="undOvr"/>
            <m:subHide m:val="off"/>
            <m:supHide m:val="off"/>
          </m:naryPr>
          <m:sub>
            <m:r>
              <m:t>t</m:t>
            </m:r>
            <m:r>
              <m:rPr>
                <m:sty m:val="p"/>
              </m:rPr>
              <m:t>=</m:t>
            </m:r>
            <m:r>
              <m:t>B</m:t>
            </m:r>
            <m:r>
              <m:rPr>
                <m:sty m:val="p"/>
              </m:rPr>
              <m:t>+</m:t>
            </m:r>
            <m:r>
              <m:t>1</m:t>
            </m:r>
          </m:sub>
          <m:sup>
            <m:r>
              <m:t>T</m:t>
            </m:r>
          </m:sup>
          <m:e>
            <m:sSup>
              <m:e>
                <m:acc>
                  <m:accPr>
                    <m:chr m:val="̃"/>
                  </m:accPr>
                  <m:e>
                    <m:r>
                      <m:t>θ</m:t>
                    </m:r>
                  </m:e>
                </m:acc>
              </m:e>
              <m:sup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</m:sup>
            </m:sSup>
          </m:e>
        </m:nary>
      </m:oMath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Credible interval</w:t>
      </w:r>
      <w:r>
        <w:t xml:space="preserve">: sample quantiles of the chain after burn-in</w:t>
      </w:r>
    </w:p>
    <w:p>
      <w:pPr>
        <w:pStyle w:val="FirstParagraph"/>
      </w:pPr>
      <w:r>
        <w:t xml:space="preserve">(Dobson and Barnett 2018, chap. 13, p. 305)</w:t>
      </w:r>
      <w: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32" w:name="exm-post-summary-mh"/>
          <w:p>
            <w:pPr>
              <w:pStyle w:val="BodyText"/>
            </w:pPr>
            <w:r>
              <w:rPr>
                <w:b/>
                <w:bCs/>
              </w:rPr>
              <w:t xml:space="preserve">Example 4 (Posterior summaries from MH chain)</w:t>
            </w:r>
            <w:r>
              <w:t xml:space="preserve"> </w:t>
            </w:r>
            <w:r>
              <w:t xml:space="preserve">Using the chain from</w:t>
            </w:r>
            <w:r>
              <w:t xml:space="preserve"> </w:t>
            </w:r>
            <w:hyperlink w:anchor="exm-mh-bernoulli">
              <w:r>
                <w:rPr>
                  <w:rStyle w:val="Hyperlink"/>
                </w:rPr>
                <w:t xml:space="preserve">Example 2</w:t>
              </w:r>
            </w:hyperlink>
            <w:r>
              <w:t xml:space="preserve">,</w:t>
            </w:r>
            <w:r>
              <w:t xml:space="preserve"> </w:t>
            </w:r>
            <w:r>
              <w:t xml:space="preserve">we discard the first 500 iterations as burn-in</w:t>
            </w:r>
            <w:r>
              <w:t xml:space="preserve"> </w:t>
            </w:r>
            <w:r>
              <w:t xml:space="preserve">and compute posterior summaries.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burnin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500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NormalTok"/>
              </w:rPr>
              <w:t xml:space="preserve">post_chain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mh_chain[</w:t>
            </w:r>
            <w:r>
              <w:rPr>
                <w:rStyle w:val="FunctionTok"/>
              </w:rPr>
              <w:t xml:space="preserve">seq</w:t>
            </w:r>
            <w:r>
              <w:rPr>
                <w:rStyle w:val="NormalTok"/>
              </w:rPr>
              <w:t xml:space="preserve">(burnin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L, 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(mh_chain))]</w:t>
            </w:r>
            <w:r>
              <w:br/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mean 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(post_chain),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lower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unname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quantile</w:t>
            </w:r>
            <w:r>
              <w:rPr>
                <w:rStyle w:val="NormalTok"/>
              </w:rPr>
              <w:t xml:space="preserve">(post_chain, </w:t>
            </w:r>
            <w:r>
              <w:rPr>
                <w:rStyle w:val="FloatTok"/>
              </w:rPr>
              <w:t xml:space="preserve">0.025</w:t>
            </w:r>
            <w:r>
              <w:rPr>
                <w:rStyle w:val="NormalTok"/>
              </w:rPr>
              <w:t xml:space="preserve">)),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upper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unname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quantile</w:t>
            </w:r>
            <w:r>
              <w:rPr>
                <w:rStyle w:val="NormalTok"/>
              </w:rPr>
              <w:t xml:space="preserve">(post_chain, </w:t>
            </w:r>
            <w:r>
              <w:rPr>
                <w:rStyle w:val="FloatTok"/>
              </w:rPr>
              <w:t xml:space="preserve">0.975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rPr>
                <w:rStyle w:val="NormalTok"/>
              </w:rPr>
              <w:t xml:space="preserve">), 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  mean  lower  upper </w:t>
            </w:r>
            <w:r>
              <w:br/>
            </w:r>
            <w:r>
              <w:rPr>
                <w:rStyle w:val="CommentTok"/>
              </w:rPr>
              <w:t xml:space="preserve">#&gt; 0.6014 0.5044 0.6958</w:t>
            </w:r>
          </w:p>
          <w:bookmarkEnd w:id="32"/>
          <w:p/>
        </w:tc>
      </w:tr>
    </w:tbl>
    <w:bookmarkEnd w:id="33"/>
    <w:bookmarkEnd w:id="34"/>
    <w:bookmarkStart w:id="36" w:name="sec-mcmc-vs-mle"/>
    <w:p>
      <w:pPr>
        <w:pStyle w:val="Heading1"/>
      </w:pPr>
      <w:r>
        <w:t xml:space="preserve">2. Comparing MCMC estimates to maximum likelihood</w:t>
      </w:r>
    </w:p>
    <w:p>
      <w:pPr>
        <w:pStyle w:val="FirstParagraph"/>
      </w:pPr>
      <w:r>
        <w:t xml:space="preserve">It is reassuring — and a useful check — that for models where both</w:t>
      </w:r>
      <w:r>
        <w:t xml:space="preserve"> </w:t>
      </w:r>
      <w:r>
        <w:t xml:space="preserve">approaches apply, the</w:t>
      </w:r>
      <w:r>
        <w:t xml:space="preserve"> </w:t>
      </w:r>
      <w:r>
        <w:rPr>
          <w:b/>
          <w:bCs/>
        </w:rPr>
        <w:t xml:space="preserve">posterior mean</w:t>
      </w:r>
      <w:r>
        <w:t xml:space="preserve"> </w:t>
      </w:r>
      <w:r>
        <w:t xml:space="preserve">from a well-mixed MCMC chain</w:t>
      </w:r>
      <w:r>
        <w:t xml:space="preserve"> </w:t>
      </w:r>
      <w:r>
        <w:t xml:space="preserve">and the</w:t>
      </w:r>
      <w:r>
        <w:t xml:space="preserve"> </w:t>
      </w:r>
      <w:r>
        <w:rPr>
          <w:b/>
          <w:bCs/>
        </w:rPr>
        <w:t xml:space="preserve">maximum likelihood estimate</w:t>
      </w:r>
      <w:r>
        <w:t xml:space="preserve"> </w:t>
      </w:r>
      <w:r>
        <w:t xml:space="preserve">(MLE) typically agree closely</w:t>
      </w:r>
      <w:r>
        <w:t xml:space="preserve"> </w:t>
      </w:r>
      <w:r>
        <w:t xml:space="preserve">when the prior is weak and the sample size is moderate or large</w:t>
      </w:r>
      <w:r>
        <w:t xml:space="preserve"> </w:t>
      </w:r>
      <w:r>
        <w:t xml:space="preserve">(Dobson and Barnett 2018, chap. 13, p. 298)</w:t>
      </w:r>
      <w:r>
        <w:t xml:space="preserve">.</w:t>
      </w:r>
      <w:r>
        <w:t xml:space="preserve"> </w:t>
      </w:r>
      <w:r>
        <w:t xml:space="preserve">Intuitively, as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grows the likelihood dominates the prior, so the</w:t>
      </w:r>
      <w:r>
        <w:t xml:space="preserve"> </w:t>
      </w:r>
      <w:r>
        <w:t xml:space="preserve">posterior concentrates near the MLE, and the posterior standard</w:t>
      </w:r>
      <w:r>
        <w:t xml:space="preserve"> </w:t>
      </w:r>
      <w:r>
        <w:t xml:space="preserve">deviation approaches the frequentist standard error.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35" w:name="exm-mcmc-vs-mle"/>
          <w:p>
            <w:pPr>
              <w:pStyle w:val="BodyText"/>
            </w:pPr>
            <w:r>
              <w:rPr>
                <w:b/>
                <w:bCs/>
              </w:rPr>
              <w:t xml:space="preserve">Example 5 (Posterior mean vs. MLE for a Bernoulli model)</w:t>
            </w:r>
            <w:r>
              <w:t xml:space="preserve"> </w:t>
            </w:r>
            <w:r>
              <w:t xml:space="preserve">For the Beta-Bernoulli model with</w:t>
            </w:r>
            <w:r>
              <w:t xml:space="preserve"> </w:t>
            </w:r>
            <m:oMath>
              <m:r>
                <m:t>r</m:t>
              </m:r>
              <m:r>
                <m:rPr>
                  <m:sty m:val="p"/>
                </m:rPr>
                <m:t>=</m:t>
              </m:r>
              <m:r>
                <m:t>55</m:t>
              </m:r>
            </m:oMath>
            <w:r>
              <w:t xml:space="preserve"> </w:t>
            </w:r>
            <w:r>
              <w:t xml:space="preserve">successes in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=</m:t>
              </m:r>
              <m:r>
                <m:t>91</m:t>
              </m:r>
            </m:oMath>
            <w:r>
              <w:t xml:space="preserve"> </w:t>
            </w:r>
            <w:r>
              <w:t xml:space="preserve">trials,</w:t>
            </w:r>
            <w:r>
              <w:t xml:space="preserve"> </w:t>
            </w:r>
            <w:r>
              <w:t xml:space="preserve">the MLE is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π</m:t>
                  </m:r>
                </m:e>
              </m:acc>
              <m:r>
                <m:rPr>
                  <m:sty m:val="p"/>
                </m:rPr>
                <m:t>=</m:t>
              </m:r>
              <m:r>
                <m:t>r</m:t>
              </m:r>
              <m:r>
                <m:rPr>
                  <m:sty m:val="p"/>
                </m:rPr>
                <m:t>/</m:t>
              </m:r>
              <m:r>
                <m:t>n</m:t>
              </m:r>
            </m:oMath>
            <w:r>
              <w:t xml:space="preserve">, while the posterior mean under a uniform</w:t>
            </w:r>
            <w:r>
              <w:t xml:space="preserve"> </w:t>
            </w:r>
            <w:r>
              <w:t xml:space="preserve">prior is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r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(</m:t>
              </m:r>
              <m:r>
                <m:t>n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rPr>
                  <m:sty m:val="p"/>
                </m:rPr>
                <m:t>)</m:t>
              </m:r>
            </m:oMath>
            <w:r>
              <w:t xml:space="preserve">. The two differ only by the prior’s pseudo-counts</w:t>
            </w:r>
            <w:r>
              <w:t xml:space="preserve"> </w:t>
            </w:r>
            <w:r>
              <w:t xml:space="preserve">and converge as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grows: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r_obs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55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NormalTok"/>
              </w:rPr>
              <w:t xml:space="preserve">n_obs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91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mle =</w:t>
            </w:r>
            <w:r>
              <w:rPr>
                <w:rStyle w:val="NormalTok"/>
              </w:rPr>
              <w:t xml:space="preserve"> r_obs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n_obs,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posterior_mean =</w:t>
            </w:r>
            <w:r>
              <w:rPr>
                <w:rStyle w:val="NormalTok"/>
              </w:rPr>
              <w:t xml:space="preserve"> (r_obs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(n_obs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), 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           mle posterior_mean </w:t>
            </w:r>
            <w:r>
              <w:br/>
            </w:r>
            <w:r>
              <w:rPr>
                <w:rStyle w:val="CommentTok"/>
              </w:rPr>
              <w:t xml:space="preserve">#&gt;         0.6044         0.6022</w:t>
            </w:r>
          </w:p>
          <w:bookmarkEnd w:id="35"/>
          <w:p/>
        </w:tc>
      </w:tr>
    </w:tbl>
    <w:p>
      <w:pPr>
        <w:pStyle w:val="FirstParagraph"/>
      </w:pPr>
      <w:r>
        <w:t xml:space="preserve">A persistent discrepancy between the two, by contrast, is a signal worth</w:t>
      </w:r>
      <w:r>
        <w:t xml:space="preserve"> </w:t>
      </w:r>
      <w:r>
        <w:t xml:space="preserve">investigating: it may reflect a genuinely informative prior, an</w:t>
      </w:r>
      <w:r>
        <w:t xml:space="preserve"> </w:t>
      </w:r>
      <w:r>
        <w:t xml:space="preserve">unconverged chain, or a coding error in the model.</w:t>
      </w:r>
    </w:p>
    <w:bookmarkEnd w:id="36"/>
    <w:bookmarkStart w:id="37" w:name="sec-mcmc-parameterization"/>
    <w:p>
      <w:pPr>
        <w:pStyle w:val="Heading1"/>
      </w:pPr>
      <w:r>
        <w:t xml:space="preserve">3. The importance of parameterization</w:t>
      </w:r>
    </w:p>
    <w:p>
      <w:pPr>
        <w:pStyle w:val="FirstParagraph"/>
      </w:pPr>
      <w:r>
        <w:t xml:space="preserve">How a model is written affects how well its sampler mixes</w:t>
      </w:r>
      <w:r>
        <w:t xml:space="preserve"> </w:t>
      </w:r>
      <w:r>
        <w:t xml:space="preserve">(Dobson and Barnett 2018, chap. 13, p. 299)</w:t>
      </w:r>
      <w:r>
        <w:t xml:space="preserve">.</w:t>
      </w:r>
      <w:r>
        <w:t xml:space="preserve"> </w:t>
      </w:r>
      <w:r>
        <w:t xml:space="preserve">Two algebraically equivalent parameterizations of the same model can</w:t>
      </w:r>
      <w:r>
        <w:t xml:space="preserve"> </w:t>
      </w:r>
      <w:r>
        <w:t xml:space="preserve">produce chains with very different autocorrelation:</w:t>
      </w:r>
      <w:r>
        <w:t xml:space="preserve"> </w:t>
      </w:r>
      <w:r>
        <w:t xml:space="preserve">strong posterior correlation between parameters slows a</w:t>
      </w:r>
      <w:r>
        <w:t xml:space="preserve"> </w:t>
      </w:r>
      <w:r>
        <w:t xml:space="preserve">component-wise sampler, because each update can only move one coordinate</w:t>
      </w:r>
      <w:r>
        <w:t xml:space="preserve"> </w:t>
      </w:r>
      <w:r>
        <w:t xml:space="preserve">at a time along a narrow, tilted ridge.</w:t>
      </w:r>
    </w:p>
    <w:p>
      <w:pPr>
        <w:pStyle w:val="BodyText"/>
      </w:pPr>
      <w:r>
        <w:t xml:space="preserve">Common remedies include</w:t>
      </w:r>
      <w:r>
        <w:t xml:space="preserve"> </w:t>
      </w:r>
      <w:r>
        <w:rPr>
          <w:b/>
          <w:bCs/>
        </w:rPr>
        <w:t xml:space="preserve">centering</w:t>
      </w:r>
      <w:r>
        <w:t xml:space="preserve"> </w:t>
      </w:r>
      <w:r>
        <w:t xml:space="preserve">predictors (subtracting their</w:t>
      </w:r>
      <w:r>
        <w:t xml:space="preserve"> </w:t>
      </w:r>
      <w:r>
        <w:t xml:space="preserve">means) so that intercept and slope are less correlated, and</w:t>
      </w:r>
      <w:r>
        <w:t xml:space="preserve"> </w:t>
      </w:r>
      <w:r>
        <w:rPr>
          <w:b/>
          <w:bCs/>
        </w:rPr>
        <w:t xml:space="preserve">reparameterizing</w:t>
      </w:r>
      <w:r>
        <w:t xml:space="preserve"> </w:t>
      </w:r>
      <w:r>
        <w:t xml:space="preserve">variance components to a scale on which the</w:t>
      </w:r>
      <w:r>
        <w:t xml:space="preserve"> </w:t>
      </w:r>
      <w:r>
        <w:t xml:space="preserve">posterior is more nearly symmetric.</w:t>
      </w:r>
      <w:r>
        <w:t xml:space="preserve"> </w:t>
      </w:r>
      <w:r>
        <w:t xml:space="preserve">These changes leave the model’s likelihood and the scientific</w:t>
      </w:r>
      <w:r>
        <w:t xml:space="preserve"> </w:t>
      </w:r>
      <w:r>
        <w:t xml:space="preserve">conclusions unchanged; they alter only the geometry the sampler must</w:t>
      </w:r>
      <w:r>
        <w:t xml:space="preserve"> </w:t>
      </w:r>
      <w:r>
        <w:t xml:space="preserve">explore.</w:t>
      </w:r>
    </w:p>
    <w:bookmarkEnd w:id="37"/>
    <w:bookmarkStart w:id="39" w:name="sec-mcmc-dic"/>
    <w:p>
      <w:pPr>
        <w:pStyle w:val="Heading1"/>
      </w:pPr>
      <w:r>
        <w:t xml:space="preserve">4. Bayesian model fit: the deviance information criterion</w:t>
      </w:r>
    </w:p>
    <w:p>
      <w:pPr>
        <w:pStyle w:val="FirstParagraph"/>
      </w:pPr>
      <w:r>
        <w:t xml:space="preserve">To compare competing Bayesian models we need a measure that balances</w:t>
      </w:r>
      <w:r>
        <w:t xml:space="preserve"> </w:t>
      </w:r>
      <w:r>
        <w:t xml:space="preserve">goodness of fit against complexity, much as Akaike’s information</w:t>
      </w:r>
      <w:r>
        <w:t xml:space="preserve"> </w:t>
      </w:r>
      <w:r>
        <w:t xml:space="preserve">criterion (AIC) does for likelihood-based models.</w:t>
      </w:r>
      <w:r>
        <w:t xml:space="preserve"> </w:t>
      </w:r>
      <w:r>
        <w:t xml:space="preserve">The standard MCMC-based criterion is the</w:t>
      </w:r>
      <w:r>
        <w:t xml:space="preserve"> </w:t>
      </w:r>
      <w:r>
        <w:rPr>
          <w:b/>
          <w:bCs/>
        </w:rPr>
        <w:t xml:space="preserve">deviance information</w:t>
      </w:r>
      <w:r>
        <w:rPr>
          <w:b/>
          <w:bCs/>
        </w:rPr>
        <w:t xml:space="preserve"> </w:t>
      </w:r>
      <w:r>
        <w:rPr>
          <w:b/>
          <w:bCs/>
        </w:rPr>
        <w:t xml:space="preserve">criterion (DIC)</w:t>
      </w:r>
      <w:r>
        <w:t xml:space="preserve"> </w:t>
      </w:r>
      <w:r>
        <w:t xml:space="preserve">(Dobson and Barnett 2018, chap. 13, p. 306)</w:t>
      </w:r>
      <w:r>
        <w:t xml:space="preserve">.</w:t>
      </w:r>
    </w:p>
    <w:p>
      <w:pPr>
        <w:pStyle w:val="BodyText"/>
      </w:pPr>
      <w:r>
        <w:t xml:space="preserve">Let</w:t>
      </w:r>
      <w:r>
        <w:t xml:space="preserve"> </w:t>
      </w:r>
      <m:oMath>
        <m:r>
          <m:t>D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θ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log</m:t>
        </m:r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∣</m:t>
        </m:r>
        <m:acc>
          <m:accPr>
            <m:chr m:val="̃"/>
          </m:accPr>
          <m:e>
            <m:r>
              <m:t>θ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be the</w:t>
      </w:r>
      <w:r>
        <w:t xml:space="preserve"> </w:t>
      </w:r>
      <w:r>
        <w:rPr>
          <w:b/>
          <w:bCs/>
        </w:rPr>
        <w:t xml:space="preserve">deviance</w:t>
      </w:r>
      <w:r>
        <w:t xml:space="preserve">.</w:t>
      </w:r>
      <w:r>
        <w:t xml:space="preserve"> </w:t>
      </w:r>
      <w:r>
        <w:t xml:space="preserve">Write</w:t>
      </w:r>
      <w:r>
        <w:t xml:space="preserve"> </w:t>
      </w:r>
      <m:oMath>
        <m:bar>
          <m:barPr>
            <m:pos m:val="top"/>
          </m:barPr>
          <m:e>
            <m:r>
              <m:t>D</m:t>
            </m:r>
          </m:e>
        </m:bar>
      </m:oMath>
      <w:r>
        <w:t xml:space="preserve"> </w:t>
      </w:r>
      <w:r>
        <w:t xml:space="preserve">for its posterior mean (estimated by averaging</w:t>
      </w:r>
      <w:r>
        <w:t xml:space="preserve"> </w:t>
      </w:r>
      <m:oMath>
        <m:r>
          <m:t>D</m:t>
        </m:r>
        <m:r>
          <m:rPr>
            <m:sty m:val="p"/>
          </m:rPr>
          <m:t>(</m:t>
        </m:r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)</m:t>
        </m:r>
      </m:oMath>
      <w:r>
        <w:t xml:space="preserve"> </w:t>
      </w:r>
      <w:r>
        <w:t xml:space="preserve">over the chain) and</w:t>
      </w:r>
      <w:r>
        <w:t xml:space="preserve"> </w:t>
      </w:r>
      <m:oMath>
        <m:r>
          <m:t>D</m:t>
        </m:r>
        <m:r>
          <m:rPr>
            <m:sty m:val="p"/>
          </m:rPr>
          <m:t>(</m:t>
        </m:r>
        <m:acc>
          <m:accPr>
            <m:chr m:val="‾"/>
          </m:accPr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for the</w:t>
      </w:r>
      <w:r>
        <w:t xml:space="preserve"> </w:t>
      </w:r>
      <w:r>
        <w:t xml:space="preserve">deviance evaluated at the posterior mean of the parameters.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38" w:name="def-dic"/>
          <w:p>
            <w:pPr>
              <w:pStyle w:val="BodyText"/>
            </w:pPr>
            <w:r>
              <w:rPr>
                <w:b/>
                <w:bCs/>
              </w:rPr>
              <w:t xml:space="preserve">Definition 4 (Deviance information criterion)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effective number of parameters</w:t>
            </w:r>
            <w:r>
              <w:t xml:space="preserve"> </w:t>
            </w:r>
            <w:r>
              <w:t xml:space="preserve">and the</w:t>
            </w:r>
            <w:r>
              <w:t xml:space="preserve"> </w:t>
            </w:r>
            <w:r>
              <w:rPr>
                <w:b/>
                <w:bCs/>
              </w:rPr>
              <w:t xml:space="preserve">DIC</w:t>
            </w:r>
            <w:r>
              <w:t xml:space="preserve"> </w:t>
            </w:r>
            <w:r>
              <w:t xml:space="preserve">are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b>
                      <m:e>
                        <m:r>
                          <m:t>p</m:t>
                        </m:r>
                      </m:e>
                      <m:sub>
                        <m:r>
                          <m:t>D</m:t>
                        </m:r>
                      </m:sub>
                    </m:sSub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bar>
                      <m:barPr>
                        <m:pos m:val="top"/>
                      </m:barPr>
                      <m:e>
                        <m:r>
                          <m:t>D</m:t>
                        </m:r>
                      </m:e>
                    </m:bar>
                    <m:r>
                      <m:rPr>
                        <m:sty m:val="p"/>
                      </m:rPr>
                      <m:t>−</m:t>
                    </m:r>
                    <m:r>
                      <m:t>D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‾"/>
                      </m:acc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</m:e>
                  <m:e>
                    <m:r>
                      <m:rPr>
                        <m:sty m:val="p"/>
                      </m:rPr>
                      <m:t>DIC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t>D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‾"/>
                      </m:acc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  <m:r>
                      <m:t> </m:t>
                    </m:r>
                    <m:sSub>
                      <m:e>
                        <m:r>
                          <m:t>p</m:t>
                        </m:r>
                      </m:e>
                      <m:sub>
                        <m:r>
                          <m:t>D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bar>
                      <m:barPr>
                        <m:pos m:val="top"/>
                      </m:barPr>
                      <m:e>
                        <m:r>
                          <m:t>D</m:t>
                        </m:r>
                      </m:e>
                    </m:bar>
                    <m:r>
                      <m:rPr>
                        <m:sty m:val="p"/>
                      </m:rPr>
                      <m:t>+</m:t>
                    </m:r>
                    <m:sSub>
                      <m:e>
                        <m:r>
                          <m:t>p</m:t>
                        </m:r>
                      </m:e>
                      <m:sub>
                        <m:r>
                          <m:t>D</m:t>
                        </m:r>
                      </m:sub>
                    </m:sSub>
                    <m:r>
                      <m:rPr>
                        <m:sty m:val="p"/>
                      </m:rPr>
                      <m:t>.</m:t>
                    </m:r>
                  </m:e>
                </m:eqArr>
              </m:oMath>
            </m:oMathPara>
          </w:p>
          <w:bookmarkEnd w:id="38"/>
        </w:tc>
      </w:tr>
    </w:tbl>
    <w:p>
      <w:pPr>
        <w:pStyle w:val="FirstParagraph"/>
      </w:pPr>
      <w:r>
        <w:t xml:space="preserve">The term</w:t>
      </w:r>
      <w:r>
        <w:t xml:space="preserve"> </w:t>
      </w:r>
      <m:oMath>
        <m:r>
          <m:t>D</m:t>
        </m:r>
        <m:r>
          <m:rPr>
            <m:sty m:val="p"/>
          </m:rPr>
          <m:t>(</m:t>
        </m:r>
        <m:acc>
          <m:accPr>
            <m:chr m:val="‾"/>
          </m:accPr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rewards fit, while</w:t>
      </w:r>
      <w:r>
        <w:t xml:space="preserve"> </w:t>
      </w:r>
      <m:oMath>
        <m:sSub>
          <m:e>
            <m:r>
              <m:t>p</m:t>
            </m:r>
          </m:e>
          <m:sub>
            <m:r>
              <m:t>D</m:t>
            </m:r>
          </m:sub>
        </m:sSub>
      </m:oMath>
      <w:r>
        <w:t xml:space="preserve"> </w:t>
      </w:r>
      <w:r>
        <w:t xml:space="preserve">penalizes</w:t>
      </w:r>
      <w:r>
        <w:t xml:space="preserve"> </w:t>
      </w:r>
      <w:r>
        <w:t xml:space="preserve">complexity: it measures how much the deviance is reduced, on average, by</w:t>
      </w:r>
      <w:r>
        <w:t xml:space="preserve"> </w:t>
      </w:r>
      <w:r>
        <w:t xml:space="preserve">letting the parameters adapt to the data.</w:t>
      </w:r>
      <w:r>
        <w:t xml:space="preserve"> </w:t>
      </w:r>
      <w:r>
        <w:t xml:space="preserve">As with AIC,</w:t>
      </w:r>
      <w:r>
        <w:t xml:space="preserve"> </w:t>
      </w:r>
      <w:r>
        <w:rPr>
          <w:b/>
          <w:bCs/>
        </w:rPr>
        <w:t xml:space="preserve">lower DIC is better</w:t>
      </w:r>
      <w:r>
        <w:t xml:space="preserve">, and only differences in DIC</w:t>
      </w:r>
      <w:r>
        <w:t xml:space="preserve"> </w:t>
      </w:r>
      <w:r>
        <w:t xml:space="preserve">between models fit to the same data are meaningful.</w:t>
      </w:r>
      <w:r>
        <w:t xml:space="preserve"> </w:t>
      </w:r>
      <w:r>
        <w:t xml:space="preserve">Because</w:t>
      </w:r>
      <w:r>
        <w:t xml:space="preserve"> </w:t>
      </w:r>
      <m:oMath>
        <m:sSub>
          <m:e>
            <m:r>
              <m:t>p</m:t>
            </m:r>
          </m:e>
          <m:sub>
            <m:r>
              <m:t>D</m:t>
            </m:r>
          </m:sub>
        </m:sSub>
      </m:oMath>
      <w:r>
        <w:t xml:space="preserve"> </w:t>
      </w:r>
      <w:r>
        <w:t xml:space="preserve">is computed directly from the posterior draws, DIC is a</w:t>
      </w:r>
      <w:r>
        <w:t xml:space="preserve"> </w:t>
      </w:r>
      <w:r>
        <w:t xml:space="preserve">convenient by-product of an MCMC run; it should nonetheless be used with</w:t>
      </w:r>
      <w:r>
        <w:t xml:space="preserve"> </w:t>
      </w:r>
      <w:r>
        <w:t xml:space="preserve">care, as it can behave poorly for models with weakly identified</w:t>
      </w:r>
      <w:r>
        <w:t xml:space="preserve"> </w:t>
      </w:r>
      <w:r>
        <w:t xml:space="preserve">parameters or markedly non-normal posteriors.</w:t>
      </w:r>
    </w:p>
    <w:bookmarkEnd w:id="39"/>
    <w:bookmarkStart w:id="43" w:name="references"/>
    <w:p>
      <w:pPr>
        <w:pStyle w:val="Heading1"/>
      </w:pPr>
      <w:r>
        <w:t xml:space="preserve">References</w:t>
      </w:r>
    </w:p>
    <w:bookmarkStart w:id="42" w:name="refs"/>
    <w:bookmarkStart w:id="41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40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41"/>
    <w:bookmarkEnd w:id="42"/>
    <w:bookmarkEnd w:id="4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3" Target="media/rId23.png" /><Relationship Type="http://schemas.openxmlformats.org/officeDocument/2006/relationships/hyperlink" Id="rId40" Target="https://doi.org/10.1201/9781315182780" TargetMode="External" /><Relationship Type="http://schemas.openxmlformats.org/officeDocument/2006/relationships/hyperlink" Id="rId12" Target="intro-bayes.qmd#exm-beta-bernoulli" TargetMode="External" /><Relationship Type="http://schemas.openxmlformats.org/officeDocument/2006/relationships/hyperlink" Id="rId9" Target="intro-bayes.qmd#sec-bayes-softwa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0" Target="https://doi.org/10.1201/9781315182780" TargetMode="External" /><Relationship Type="http://schemas.openxmlformats.org/officeDocument/2006/relationships/hyperlink" Id="rId12" Target="intro-bayes.qmd#exm-beta-bernoulli" TargetMode="External" /><Relationship Type="http://schemas.openxmlformats.org/officeDocument/2006/relationships/hyperlink" Id="rId9" Target="intro-bayes.qmd#sec-bayes-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Markov Chain Monte Carlo Methods</dc:title>
  <dc:creator/>
  <cp:keywords/>
  <dcterms:created xsi:type="dcterms:W3CDTF">2026-06-20T09:39:01Z</dcterms:created>
  <dcterms:modified xsi:type="dcterms:W3CDTF">2026-06-20T09:39:01Z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