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14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Statistical Inference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TOCHeading"/>
          </w:pPr>
          <w:r>
            <w:t xml:space="preserve">Table of contents</w:t>
          </w:r>
        </w:p>
        <w:p>
          <w:r>
            <w:fldChar w:fldCharType="begin" w:dirty="true"/>
            <w:instrText xml:space="preserve">TOC \o "1-3" \h \z \u</w:instrText>
            <w:fldChar w:fldCharType="separate"/>
            <w:fldChar w:fldCharType="end"/>
          </w:r>
        </w:p>
      </w:sdtContent>
    </w:sdt>
    <w:bookmarkStart w:id="13" w:name="inference"/>
    <w:p>
      <w:pPr>
        <w:pStyle w:val="Heading1"/>
      </w:pPr>
      <w:r>
        <w:t xml:space="preserve">1. Inference</w: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10" w:name="def-inference"/>
          <w:p>
            <w:pPr>
              <w:pStyle w:val="BodyText"/>
            </w:pPr>
            <w:r>
              <w:rPr>
                <w:b/>
                <w:bCs/>
              </w:rPr>
              <w:t xml:space="preserve">Definition 1 (Statistical inference)</w:t>
            </w:r>
            <w:r>
              <w:t xml:space="preserve"> </w:t>
            </w:r>
            <w:r>
              <w:t xml:space="preserve">Statistical inference is the process of analyzing data in order</w:t>
            </w:r>
            <w:r>
              <w:t xml:space="preserve"> </w:t>
            </w:r>
            <w:r>
              <w:t xml:space="preserve">to learn about</w:t>
            </w:r>
            <w:r>
              <w:t xml:space="preserve"> </w:t>
            </w:r>
            <w:r>
              <w:t xml:space="preserve">the shape and structure of a probability distribution.</w:t>
            </w:r>
            <w:r>
              <w:t xml:space="preserve"> </w:t>
            </w:r>
            <w:r>
              <w:rPr>
                <w:rStyle w:val="FootnoteReference"/>
              </w:rPr>
              <w:footnoteReference w:id="9"/>
            </w:r>
          </w:p>
          <w:bookmarkEnd w:id="10"/>
        </w:tc>
      </w:tr>
    </w:tbl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Statistical inference typically consists of two steps:</w:t>
      </w:r>
    </w:p>
    <w:p>
      <w:pPr>
        <w:pStyle w:val="Compact"/>
        <w:numPr>
          <w:ilvl w:val="0"/>
          <w:numId w:val="1001"/>
        </w:numPr>
      </w:pPr>
      <w:r>
        <w:t xml:space="preserve">fitting a statistical model to data</w:t>
      </w:r>
    </w:p>
    <w:p>
      <w:pPr>
        <w:pStyle w:val="Compact"/>
        <w:numPr>
          <w:ilvl w:val="0"/>
          <w:numId w:val="1001"/>
        </w:numPr>
      </w:pPr>
      <w:r>
        <w:t xml:space="preserve">summarizing our uncertainty about the parameters of the fitted model</w:t>
      </w:r>
      <w:r>
        <w:t xml:space="preserve"> </w:t>
      </w:r>
      <w:r>
        <w:t xml:space="preserve">based on the data (and our prior beliefs).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There are two predominant paradigms for statistical inference:</w:t>
      </w:r>
    </w:p>
    <w:p>
      <w:pPr>
        <w:pStyle w:val="Compact"/>
        <w:numPr>
          <w:ilvl w:val="0"/>
          <w:numId w:val="1002"/>
        </w:numPr>
      </w:pPr>
      <w:hyperlink r:id="rId11">
        <w:r>
          <w:rPr>
            <w:rStyle w:val="Hyperlink"/>
          </w:rPr>
          <w:t xml:space="preserve">Bayesian inference</w:t>
        </w:r>
      </w:hyperlink>
    </w:p>
    <w:p>
      <w:pPr>
        <w:pStyle w:val="Compact"/>
        <w:numPr>
          <w:ilvl w:val="0"/>
          <w:numId w:val="1002"/>
        </w:numPr>
      </w:pPr>
      <w:hyperlink r:id="rId12">
        <w:r>
          <w:rPr>
            <w:rStyle w:val="Hyperlink"/>
          </w:rPr>
          <w:t xml:space="preserve">Frequentist inference</w:t>
        </w:r>
      </w:hyperlink>
    </w:p>
    <w:bookmarkEnd w:id="13"/>
    <w:bookmarkStart w:id="18" w:name="interpretation-of-negative-findings"/>
    <w:p>
      <w:pPr>
        <w:pStyle w:val="Heading1"/>
      </w:pPr>
      <w:r>
        <w:t xml:space="preserve">2. Interpretation of Negative Findings</w:t>
      </w:r>
    </w:p>
    <w:p>
      <w:pPr>
        <w:pStyle w:val="FirstParagraph"/>
      </w:pPr>
      <w:r>
        <w:t xml:space="preserve">If an estimation interval includes the null hypothesis,</w:t>
      </w:r>
      <w:r>
        <w:t xml:space="preserve"> </w:t>
      </w:r>
      <w:r>
        <w:t xml:space="preserve">or equivalently if a hypothesis test fails to reject the null hypothesis,</w:t>
      </w:r>
      <w:r>
        <w:t xml:space="preserve"> </w:t>
      </w:r>
      <w:r>
        <w:t xml:space="preserve">that doesn’t</w:t>
      </w:r>
      <w:r>
        <w:t xml:space="preserve"> </w:t>
      </w:r>
      <w:r>
        <w:rPr>
          <w:i/>
          <w:iCs/>
        </w:rPr>
        <w:t xml:space="preserve">necessarily</w:t>
      </w:r>
      <w:r>
        <w:t xml:space="preserve"> </w:t>
      </w:r>
      <w:r>
        <w:t xml:space="preserve">mean that the null hypothesis is true.</w:t>
      </w:r>
      <w:r>
        <w:t xml:space="preserve"> </w:t>
      </w:r>
      <w:r>
        <w:t xml:space="preserve">Accordingly,</w:t>
      </w:r>
      <w:r>
        <w:t xml:space="preserve"> </w:t>
      </w:r>
      <w:r>
        <w:t xml:space="preserve">we should not write interpretations of results as</w:t>
      </w:r>
      <w:r>
        <w:t xml:space="preserve"> </w:t>
      </w:r>
      <w:r>
        <w:t xml:space="preserve">“the odds (or risks/hazards/means) are not significantly different”</w:t>
      </w:r>
      <w:r>
        <w:t xml:space="preserve">;</w:t>
      </w:r>
      <w:r>
        <w:t xml:space="preserve"> </w:t>
      </w:r>
      <w:r>
        <w:t xml:space="preserve">instead, we should write something like</w:t>
      </w:r>
      <w:r>
        <w:t xml:space="preserve"> </w:t>
      </w:r>
      <w:r>
        <w:t xml:space="preserve">“the data does not provide statistically significant EVIDENCE</w:t>
      </w:r>
      <w:r>
        <w:t xml:space="preserve"> </w:t>
      </w:r>
      <w:r>
        <w:t xml:space="preserve">that the odds (or analogous estimands) differ”</w:t>
      </w:r>
      <w:r>
        <w:t xml:space="preserve">.</w:t>
      </w:r>
      <w:r>
        <w:t xml:space="preserve"> </w:t>
      </w:r>
      <w:r>
        <w:t xml:space="preserve">Statistical significance is a characteristic of evidence, not of the estimands.</w:t>
      </w:r>
    </w:p>
    <w:p>
      <w:pPr>
        <w:pStyle w:val="BodyText"/>
      </w:pPr>
      <w:r>
        <w:t xml:space="preserve">P-values do not distinguish between absence of evidence and evidence of absence.</w:t>
      </w:r>
    </w:p>
    <w:p>
      <w:pPr>
        <w:pStyle w:val="BodyText"/>
      </w:pPr>
      <w:r>
        <w:t xml:space="preserve">Confidence intervals do:</w:t>
      </w:r>
      <w:r>
        <w:t xml:space="preserve"> </w:t>
      </w:r>
      <w:r>
        <w:t xml:space="preserve">if the confidence interval is narrow and includes the null value,</w:t>
      </w:r>
      <w:r>
        <w:t xml:space="preserve"> </w:t>
      </w:r>
      <w:r>
        <w:t xml:space="preserve">then that confidence interval represents evidence of absence.</w:t>
      </w:r>
      <w:r>
        <w:t xml:space="preserve"> </w:t>
      </w:r>
      <w:r>
        <w:t xml:space="preserve">If a confidence interval includes the null value but also includes</w:t>
      </w:r>
      <w:r>
        <w:t xml:space="preserve"> </w:t>
      </w:r>
      <w:r>
        <w:t xml:space="preserve">substantially non-null values,</w:t>
      </w:r>
      <w:r>
        <w:t xml:space="preserve"> </w:t>
      </w:r>
      <w:r>
        <w:t xml:space="preserve">then that confidence interval represents absence of evidence.</w:t>
      </w:r>
    </w:p>
    <w:p>
      <w:pPr>
        <w:pStyle w:val="BodyText"/>
      </w:pPr>
      <w:r>
        <w:t xml:space="preserve">Also, even if we do have statistically significant evidence of a non-null value,</w:t>
      </w:r>
      <w:r>
        <w:t xml:space="preserve"> </w:t>
      </w:r>
      <w:r>
        <w:t xml:space="preserve">the estimated value may not be</w:t>
      </w:r>
      <w:r>
        <w:t xml:space="preserve"> </w:t>
      </w:r>
      <w:r>
        <w:rPr>
          <w:b/>
          <w:bCs/>
        </w:rPr>
        <w:t xml:space="preserve">substantially different from 0</w:t>
      </w:r>
      <w:r>
        <w:t xml:space="preserve">,</w:t>
      </w:r>
      <w:r>
        <w:t xml:space="preserve"> </w:t>
      </w:r>
      <w:r>
        <w:t xml:space="preserve">depending on what estimand is.</w:t>
      </w:r>
      <w:r>
        <w:t xml:space="preserve"> </w:t>
      </w:r>
      <w:r>
        <w:t xml:space="preserve">For example, we might have statistically significant evidence that</w:t>
      </w:r>
      <w:r>
        <w:t xml:space="preserve"> </w:t>
      </w:r>
      <w:r>
        <w:t xml:space="preserve">a certain exercise prolongs human lifespans by 20 seconds,</w:t>
      </w:r>
      <w:r>
        <w:t xml:space="preserve"> </w:t>
      </w:r>
      <w:r>
        <w:t xml:space="preserve">but that effect would probably not be substantially different from 0</w:t>
      </w:r>
      <w:r>
        <w:t xml:space="preserve"> </w:t>
      </w:r>
      <w:r>
        <w:t xml:space="preserve">in practical terms.</w:t>
      </w:r>
    </w:p>
    <w:p>
      <w:pPr>
        <w:pStyle w:val="BodyText"/>
      </w:pPr>
      <w:hyperlink w:anchor="fig-CI-interp">
        <w:r>
          <w:rPr>
            <w:rStyle w:val="Hyperlink"/>
          </w:rPr>
          <w:t xml:space="preserve">Figure 1</w:t>
        </w:r>
      </w:hyperlink>
      <w:r>
        <w:t xml:space="preserve"> </w:t>
      </w:r>
      <w:r>
        <w:t xml:space="preserve">sketches various scenarios for confidence intervals,</w:t>
      </w:r>
      <w:r>
        <w:t xml:space="preserve"> </w:t>
      </w:r>
      <w:r>
        <w:t xml:space="preserve">from office hours.</w:t>
      </w:r>
      <w:r>
        <w:t xml:space="preserve"> </w:t>
      </w:r>
      <w:r>
        <w:t xml:space="preserve">To do: convert this sketch into a nicely formatted figure.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7" w:name="fig-CI-interp"/>
          <w:p>
            <w:pPr>
              <w:pStyle w:val="Compact"/>
              <w:jc w:val="center"/>
            </w:pPr>
            <w:r>
              <w:drawing>
                <wp:inline>
                  <wp:extent cx="5334000" cy="7084218"/>
                  <wp:effectExtent b="0" l="0" r="0" t="0"/>
                  <wp:docPr descr="" title="" id="15" name="Picture"/>
                  <a:graphic>
                    <a:graphicData uri="http://schemas.openxmlformats.org/drawingml/2006/picture">
                      <pic:pic>
                        <pic:nvPicPr>
                          <pic:cNvPr descr="../images/PXL_20250530_230241474.jpg" id="1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7084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1: Interpretations of various confidence intervals</w:t>
            </w:r>
          </w:p>
          <w:bookmarkEnd w:id="17"/>
        </w:tc>
      </w:tr>
    </w:tbl>
    <w:p>
      <w:pPr>
        <w:pStyle w:val="BodyText"/>
      </w:pPr>
      <w:r>
        <w:t xml:space="preserve">See also</w:t>
      </w:r>
      <w:r>
        <w:t xml:space="preserve"> </w:t>
      </w:r>
      <w:r>
        <w:t xml:space="preserve">Vittinghoff et al. (2012)</w:t>
      </w:r>
      <w:r>
        <w:t xml:space="preserve"> </w:t>
      </w:r>
      <w:r>
        <w:t xml:space="preserve">§3.7 (p64).</w:t>
      </w:r>
    </w:p>
    <w:bookmarkEnd w:id="18"/>
    <w:bookmarkStart w:id="22" w:name="sec-CI"/>
    <w:p>
      <w:pPr>
        <w:pStyle w:val="Heading1"/>
      </w:pPr>
      <w:r>
        <w:t xml:space="preserve">3. Confidence intervals</w: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19" w:name="def-margin-error"/>
          <w:p>
            <w:pPr>
              <w:pStyle w:val="BodyText"/>
            </w:pPr>
            <w:r>
              <w:rPr>
                <w:b/>
                <w:bCs/>
              </w:rPr>
              <w:t xml:space="preserve">Definition 2 (margin of error)</w:t>
            </w:r>
            <w:r>
              <w:t xml:space="preserve"> </w:t>
            </w:r>
            <w:r>
              <w:t xml:space="preserve">The</w:t>
            </w:r>
            <w:r>
              <w:t xml:space="preserve"> </w:t>
            </w:r>
            <w:r>
              <w:rPr>
                <w:b/>
                <w:bCs/>
              </w:rPr>
              <w:t xml:space="preserve">margin of error</w:t>
            </w:r>
            <w:r>
              <w:t xml:space="preserve"> </w:t>
            </w:r>
            <w:r>
              <w:t xml:space="preserve">(a.k.a. the</w:t>
            </w:r>
            <w:r>
              <w:t xml:space="preserve"> </w:t>
            </w:r>
            <w:r>
              <w:rPr>
                <w:b/>
                <w:bCs/>
              </w:rPr>
              <w:t xml:space="preserve">radius</w:t>
            </w:r>
            <w:r>
              <w:t xml:space="preserve">) is</w:t>
            </w:r>
            <w:r>
              <w:t xml:space="preserve"> </w:t>
            </w:r>
            <w:r>
              <w:t xml:space="preserve">one-half the width of a confidence interval.</w:t>
            </w:r>
          </w:p>
          <w:bookmarkEnd w:id="19"/>
        </w:tc>
      </w:tr>
    </w:tbl>
    <w:p>
      <w:pPr>
        <w:pStyle w:val="BodyText"/>
      </w:pPr>
      <w:r>
        <w:t xml:space="preserve">more:</w:t>
      </w:r>
    </w:p>
    <w:p>
      <w:pPr>
        <w:pStyle w:val="Compact"/>
        <w:numPr>
          <w:ilvl w:val="0"/>
          <w:numId w:val="1003"/>
        </w:numPr>
      </w:pPr>
      <w:hyperlink r:id="rId20">
        <w:r>
          <w:rPr>
            <w:rStyle w:val="Hyperlink"/>
          </w:rPr>
          <w:t xml:space="preserve">Anatomy of a confidence interval (text)</w:t>
        </w:r>
      </w:hyperlink>
    </w:p>
    <w:p>
      <w:pPr>
        <w:numPr>
          <w:ilvl w:val="0"/>
          <w:numId w:val="1003"/>
        </w:numPr>
      </w:pPr>
      <w:hyperlink r:id="rId21">
        <w:r>
          <w:rPr>
            <w:rStyle w:val="Hyperlink"/>
          </w:rPr>
          <w:t xml:space="preserve">https://www.youtube.com/watch?v=vq1KrE7gU5M</w:t>
        </w:r>
      </w:hyperlink>
    </w:p>
    <w:bookmarkEnd w:id="22"/>
    <w:bookmarkStart w:id="28" w:name="references"/>
    <w:p>
      <w:pPr>
        <w:pStyle w:val="Heading1"/>
      </w:pPr>
      <w:r>
        <w:t xml:space="preserve">References</w:t>
      </w:r>
    </w:p>
    <w:bookmarkStart w:id="27" w:name="refs"/>
    <w:bookmarkStart w:id="24" w:name="ref-vittinghoff2e"/>
    <w:p>
      <w:pPr>
        <w:pStyle w:val="Bibliography"/>
      </w:pPr>
      <w:r>
        <w:t xml:space="preserve">Vittinghoff, Eric, David V Glidden, Stephen C Shiboski, and Charles E McCulloch. 2012.</w:t>
      </w:r>
      <w:r>
        <w:t xml:space="preserve"> </w:t>
      </w:r>
      <w:r>
        <w:rPr>
          <w:i/>
          <w:iCs/>
        </w:rPr>
        <w:t xml:space="preserve">Regression Methods in Biostatistics: Linear, Logistic, Survival, and Repeated Measures Models</w:t>
      </w:r>
      <w:r>
        <w:t xml:space="preserve">. 2nd ed. Springer.</w:t>
      </w:r>
      <w:r>
        <w:t xml:space="preserve"> </w:t>
      </w:r>
      <w:hyperlink r:id="rId23">
        <w:r>
          <w:rPr>
            <w:rStyle w:val="Hyperlink"/>
          </w:rPr>
          <w:t xml:space="preserve">https://doi.org/10.1007/978-1-4614-1353-0</w:t>
        </w:r>
      </w:hyperlink>
      <w:r>
        <w:t xml:space="preserve">.</w:t>
      </w:r>
    </w:p>
    <w:bookmarkEnd w:id="24"/>
    <w:bookmarkStart w:id="26" w:name="ref-wp:statinference"/>
    <w:p>
      <w:pPr>
        <w:pStyle w:val="Bibliography"/>
      </w:pPr>
      <w:r>
        <w:t xml:space="preserve">Wikipedia contributors. 2025.</w:t>
      </w:r>
      <w:r>
        <w:t xml:space="preserve"> </w:t>
      </w:r>
      <w:r>
        <w:rPr>
          <w:i/>
          <w:iCs/>
        </w:rPr>
        <w:t xml:space="preserve">Statistical Inference —</w:t>
      </w:r>
      <w:r>
        <w:rPr>
          <w:i/>
          <w:iCs/>
        </w:rPr>
        <w:t xml:space="preserve"> </w:t>
      </w:r>
      <w:r>
        <w:rPr>
          <w:i/>
          <w:iCs/>
        </w:rPr>
        <w:t xml:space="preserve">Wikipedia</w:t>
      </w:r>
      <w:r>
        <w:rPr>
          <w:i/>
          <w:iCs/>
        </w:rPr>
        <w:t xml:space="preserve">,</w:t>
      </w:r>
      <w:r>
        <w:rPr>
          <w:i/>
          <w:iCs/>
        </w:rPr>
        <w:t xml:space="preserve"> </w:t>
      </w:r>
      <w:r>
        <w:rPr>
          <w:i/>
          <w:iCs/>
        </w:rPr>
        <w:t xml:space="preserve">the Free Encyclopedia</w:t>
      </w:r>
      <w:r>
        <w:t xml:space="preserve">.</w:t>
      </w:r>
      <w:r>
        <w:t xml:space="preserve"> </w:t>
      </w:r>
      <w:hyperlink r:id="rId25">
        <w:r>
          <w:rPr>
            <w:rStyle w:val="Hyperlink"/>
          </w:rPr>
          <w:t xml:space="preserve">https://en.wikipedia.org/w/index.php?title=Statistical_inference&amp;oldid=1304071803</w:t>
        </w:r>
      </w:hyperlink>
      <w:r>
        <w:t xml:space="preserve">.</w:t>
      </w:r>
    </w:p>
    <w:bookmarkEnd w:id="26"/>
    <w:bookmarkEnd w:id="27"/>
    <w:bookmarkEnd w:id="28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  <w:footnote w:id="9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 </w:t>
      </w:r>
      <w:r>
        <w:t xml:space="preserve">I adapted this definition from Wikipedia’s</w:t>
      </w:r>
      <w:r>
        <w:t xml:space="preserve"> </w:t>
      </w:r>
      <w:r>
        <w:t xml:space="preserve">(Wikipedia contributors 2025)</w:t>
      </w:r>
      <w:r>
        <w:t xml:space="preserve">.</w:t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zh-CN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8" Target="numbering.xml" /><Relationship Type="http://schemas.openxmlformats.org/officeDocument/2006/relationships/styles" Id="rId7" Target="styles.xml" /><Relationship Type="http://schemas.openxmlformats.org/officeDocument/2006/relationships/settings" Id="rId6" Target="settings.xml" /><Relationship Type="http://schemas.openxmlformats.org/officeDocument/2006/relationships/webSettings" Id="rId5" Target="webSettings.xml" /><Relationship Type="http://schemas.openxmlformats.org/officeDocument/2006/relationships/fontTable" Id="rId4" Target="fontTable.xml" /><Relationship Type="http://schemas.openxmlformats.org/officeDocument/2006/relationships/theme" Id="rId3" Target="theme/theme1.xml" /><Relationship Type="http://schemas.openxmlformats.org/officeDocument/2006/relationships/footnotes" Id="rId2" Target="footnotes.xml" /><Relationship Type="http://schemas.openxmlformats.org/officeDocument/2006/relationships/comments" Id="rId1" Target="comments.xml" /><Relationship Type="http://schemas.openxmlformats.org/officeDocument/2006/relationships/image" Id="rId14" Target="media/rId14.jpg" /><Relationship Type="http://schemas.openxmlformats.org/officeDocument/2006/relationships/hyperlink" Id="rId23" Target="https://doi.org/10.1007/978-1-4614-1353-0" TargetMode="External" /><Relationship Type="http://schemas.openxmlformats.org/officeDocument/2006/relationships/hyperlink" Id="rId25" Target="https://en.wikipedia.org/w/index.php?title=Statistical_inference&amp;oldid=1304071803" TargetMode="External" /><Relationship Type="http://schemas.openxmlformats.org/officeDocument/2006/relationships/hyperlink" Id="rId20" Target="https://wmed.edu/sites/default/files/ANATOMY%20OF%20A%20CONFIDENCE%20INTERVAL%20%28full%29.pdf" TargetMode="External" /><Relationship Type="http://schemas.openxmlformats.org/officeDocument/2006/relationships/hyperlink" Id="rId21" Target="https://www.youtube.com/watch?v=vq1KrE7gU5M" TargetMode="External" /><Relationship Type="http://schemas.openxmlformats.org/officeDocument/2006/relationships/hyperlink" Id="rId12" Target="intro-MLEs.qmd#sec-intro-MLEs" TargetMode="External" /><Relationship Type="http://schemas.openxmlformats.org/officeDocument/2006/relationships/hyperlink" Id="rId11" Target="intro-bayes.qmd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3" Target="https://doi.org/10.1007/978-1-4614-1353-0" TargetMode="External" /><Relationship Type="http://schemas.openxmlformats.org/officeDocument/2006/relationships/hyperlink" Id="rId25" Target="https://en.wikipedia.org/w/index.php?title=Statistical_inference&amp;oldid=1304071803" TargetMode="External" /><Relationship Type="http://schemas.openxmlformats.org/officeDocument/2006/relationships/hyperlink" Id="rId20" Target="https://wmed.edu/sites/default/files/ANATOMY%20OF%20A%20CONFIDENCE%20INTERVAL%20%28full%29.pdf" TargetMode="External" /><Relationship Type="http://schemas.openxmlformats.org/officeDocument/2006/relationships/hyperlink" Id="rId21" Target="https://www.youtube.com/watch?v=vq1KrE7gU5M" TargetMode="External" /><Relationship Type="http://schemas.openxmlformats.org/officeDocument/2006/relationships/hyperlink" Id="rId12" Target="intro-MLEs.qmd#sec-intro-MLEs" TargetMode="External" /><Relationship Type="http://schemas.openxmlformats.org/officeDocument/2006/relationships/hyperlink" Id="rId11" Target="intro-bayes.qmd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Statistical Inference</dc:title>
  <dc:creator/>
  <cp:keywords/>
  <dcterms:created xsi:type="dcterms:W3CDTF">2026-06-20T09:35:21Z</dcterms:created>
  <dcterms:modified xsi:type="dcterms:W3CDTF">2026-06-20T09:35:21Z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blio-config">
    <vt:lpwstr>True</vt:lpwstr>
  </property>
  <property fmtid="{D5CDD505-2E9C-101B-9397-08002B2CF9AE}" pid="3" name="bibliography">
    <vt:lpwstr/>
  </property>
  <property fmtid="{D5CDD505-2E9C-101B-9397-08002B2CF9AE}" pid="4" name="callouty-theorem">
    <vt:lpwstr/>
  </property>
  <property fmtid="{D5CDD505-2E9C-101B-9397-08002B2CF9AE}" pid="5" name="comments">
    <vt:lpwstr/>
  </property>
  <property fmtid="{D5CDD505-2E9C-101B-9397-08002B2CF9AE}" pid="6" name="crossref">
    <vt:lpwstr/>
  </property>
  <property fmtid="{D5CDD505-2E9C-101B-9397-08002B2CF9AE}" pid="7" name="custom-callout">
    <vt:lpwstr/>
  </property>
  <property fmtid="{D5CDD505-2E9C-101B-9397-08002B2CF9AE}" pid="8" name="editor">
    <vt:lpwstr/>
  </property>
  <property fmtid="{D5CDD505-2E9C-101B-9397-08002B2CF9AE}" pid="9" name="editor_options">
    <vt:lpwstr/>
  </property>
  <property fmtid="{D5CDD505-2E9C-101B-9397-08002B2CF9AE}" pid="10" name="engines">
    <vt:lpwstr/>
  </property>
  <property fmtid="{D5CDD505-2E9C-101B-9397-08002B2CF9AE}" pid="11" name="header-includes">
    <vt:lpwstr/>
  </property>
  <property fmtid="{D5CDD505-2E9C-101B-9397-08002B2CF9AE}" pid="12" name="include-after">
    <vt:lpwstr/>
  </property>
  <property fmtid="{D5CDD505-2E9C-101B-9397-08002B2CF9AE}" pid="13" name="include-before">
    <vt:lpwstr/>
  </property>
  <property fmtid="{D5CDD505-2E9C-101B-9397-08002B2CF9AE}" pid="14" name="knitr">
    <vt:lpwstr/>
  </property>
  <property fmtid="{D5CDD505-2E9C-101B-9397-08002B2CF9AE}" pid="15" name="labels">
    <vt:lpwstr/>
  </property>
  <property fmtid="{D5CDD505-2E9C-101B-9397-08002B2CF9AE}" pid="16" name="number-depth">
    <vt:lpwstr>3</vt:lpwstr>
  </property>
  <property fmtid="{D5CDD505-2E9C-101B-9397-08002B2CF9AE}" pid="17" name="toc-title">
    <vt:lpwstr>Table of contents</vt:lpwstr>
  </property>
</Properties>
</file>