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6.png" ContentType="image/png"/>
  <Override PartName="/word/media/rId9.png" ContentType="image/png"/>
  <Override PartName="/word/media/rId49.png" ContentType="image/png"/>
  <Override PartName="/word/media/rId44.png" ContentType="image/png"/>
  <Override PartName="/word/media/rId75.png" ContentType="image/png"/>
  <Override PartName="/word/media/rId71.png" ContentType="image/png"/>
  <Override PartName="/word/media/rId39.png" ContentType="image/png"/>
  <Override PartName="/word/media/rId34.png" ContentType="image/png"/>
  <Override PartName="/word/media/rId89.png" ContentType="image/png"/>
  <Override PartName="/word/media/rId54.png" ContentType="image/png"/>
  <Override PartName="/word/media/rId6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Exploratory and Descriptive Methods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12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chapter is adapted from</w:t>
            </w:r>
            <w:r>
              <w:t xml:space="preserve"> </w:t>
            </w:r>
            <w:r>
              <w:t xml:space="preserve">Vittinghoff et al. (2012)</w:t>
            </w:r>
            <w:r>
              <w:t xml:space="preserve">, Chapter 2.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End w:id="12"/>
    <w:bookmarkStart w:id="19" w:name="introduction"/>
    <w:p>
      <w:pPr>
        <w:pStyle w:val="Heading1"/>
      </w:pPr>
      <w:r>
        <w:t xml:space="preserve">1. Introduction</w:t>
      </w:r>
    </w:p>
    <w:p>
      <w:pPr>
        <w:pStyle w:val="FirstParagraph"/>
      </w:pPr>
      <w:r>
        <w:t xml:space="preserve">Before fitting regression models,</w:t>
      </w:r>
      <w:r>
        <w:t xml:space="preserve"> </w:t>
      </w:r>
      <w:r>
        <w:t xml:space="preserve">it is good practice to explore and summarize the data.</w:t>
      </w:r>
      <w:r>
        <w:t xml:space="preserve"> </w:t>
      </w:r>
      <w:r>
        <w:t xml:space="preserve">Exploratory data analysis (EDA) serves several purposes:</w:t>
      </w:r>
    </w:p>
    <w:p>
      <w:pPr>
        <w:pStyle w:val="Compact"/>
        <w:numPr>
          <w:ilvl w:val="0"/>
          <w:numId w:val="1001"/>
        </w:numPr>
      </w:pPr>
      <w:r>
        <w:t xml:space="preserve">Understand the distribution of each variable individually.</w:t>
      </w:r>
    </w:p>
    <w:p>
      <w:pPr>
        <w:pStyle w:val="Compact"/>
        <w:numPr>
          <w:ilvl w:val="0"/>
          <w:numId w:val="1001"/>
        </w:numPr>
      </w:pPr>
      <w:r>
        <w:t xml:space="preserve">Detect unusual values, outliers, and missing data.</w:t>
      </w:r>
    </w:p>
    <w:p>
      <w:pPr>
        <w:pStyle w:val="Compact"/>
        <w:numPr>
          <w:ilvl w:val="0"/>
          <w:numId w:val="1001"/>
        </w:numPr>
      </w:pPr>
      <w:r>
        <w:t xml:space="preserve">Identify patterns and relationships among variables.</w:t>
      </w:r>
    </w:p>
    <w:p>
      <w:pPr>
        <w:pStyle w:val="Compact"/>
        <w:numPr>
          <w:ilvl w:val="0"/>
          <w:numId w:val="1001"/>
        </w:numPr>
      </w:pPr>
      <w:r>
        <w:t xml:space="preserve">Motivate choices of model structure (e.g., transformations).</w:t>
      </w:r>
    </w:p>
    <w:p>
      <w:pPr>
        <w:pStyle w:val="Compact"/>
        <w:numPr>
          <w:ilvl w:val="0"/>
          <w:numId w:val="1001"/>
        </w:numPr>
      </w:pPr>
      <w:r>
        <w:t xml:space="preserve">Provide context for interpreting model results.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this chapter we illustrate exploratory and descriptive techniques</w:t>
      </w:r>
      <w:r>
        <w:t xml:space="preserve"> </w:t>
      </w:r>
      <w:r>
        <w:t xml:space="preserve">using the Western Collaborative Group Study (WCGS) dataset.</w:t>
      </w:r>
    </w:p>
    <w:bookmarkStart w:id="16" w:name="coronary-heart-disease-wcgs-study-data"/>
    <w:p>
      <w:pPr>
        <w:pStyle w:val="Heading3"/>
      </w:pPr>
      <w:r>
        <w:t xml:space="preserve">1.0.1 Coronary heart disease (WCGS) study data</w:t>
      </w:r>
    </w:p>
    <w:p>
      <w:pPr>
        <w:pStyle w:val="FirstParagraph"/>
      </w:pPr>
      <w:r>
        <w:t xml:space="preserve">Let’s use the data from the Western Collaborative Group Study (WCGS)</w:t>
      </w:r>
      <w:r>
        <w:t xml:space="preserve"> </w:t>
      </w:r>
      <w:r>
        <w:t xml:space="preserve">(</w:t>
      </w:r>
      <w:r>
        <w:t xml:space="preserve">Rosenman et al. (1975)</w:t>
      </w:r>
      <w:r>
        <w:t xml:space="preserve">) to explore multiple logistic regression:</w:t>
      </w:r>
    </w:p>
    <w:p>
      <w:pPr>
        <w:pStyle w:val="BodyText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Vittinghoff et al. (2012)</w:t>
      </w:r>
      <w:r>
        <w:rPr>
          <w:i/>
          <w:iCs/>
        </w:rPr>
        <w:t xml:space="preserve">:</w:t>
      </w:r>
    </w:p>
    <w:p>
      <w:pPr>
        <w:pStyle w:val="BodyText"/>
      </w:pPr>
      <w:r>
        <w:t xml:space="preserve">“The</w:t>
      </w:r>
      <w:r>
        <w:t xml:space="preserve"> </w:t>
      </w:r>
      <w:r>
        <w:rPr>
          <w:b/>
          <w:bCs/>
        </w:rPr>
        <w:t xml:space="preserve">Western Collaborative Group Study (WCGS)</w:t>
      </w:r>
      <w:r>
        <w:t xml:space="preserve"> </w:t>
      </w:r>
      <w:r>
        <w:t xml:space="preserve">was a large</w:t>
      </w:r>
      <w:r>
        <w:t xml:space="preserve"> </w:t>
      </w:r>
      <w:r>
        <w:t xml:space="preserve">epidemiological study designed to investigate the association between</w:t>
      </w:r>
      <w:r>
        <w:t xml:space="preserve"> </w:t>
      </w:r>
      <w:r>
        <w:t xml:space="preserve">the”</w:t>
      </w:r>
      <w:r>
        <w:t xml:space="preserve">type A” behavior pattern and coronary heart disease (CHD)“.</w:t>
      </w:r>
    </w:p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13" w:name="exr-def-type-A"/>
          <w:p>
            <w:pPr>
              <w:pStyle w:val="BodyText"/>
            </w:pPr>
            <w:r>
              <w:rPr>
                <w:b/>
                <w:bCs/>
              </w:rPr>
              <w:t xml:space="preserve">Exercise 1</w:t>
            </w:r>
            <w:r>
              <w:t xml:space="preserve"> </w:t>
            </w:r>
            <w:r>
              <w:t xml:space="preserve">What is</w:t>
            </w:r>
            <w:r>
              <w:t xml:space="preserve"> </w:t>
            </w:r>
            <w:r>
              <w:t xml:space="preserve">“type A”</w:t>
            </w:r>
            <w:r>
              <w:t xml:space="preserve"> </w:t>
            </w:r>
            <w:r>
              <w:t xml:space="preserve">behavior?</w:t>
            </w:r>
          </w:p>
          <w:bookmarkEnd w:id="1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Solution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4" w:name="sol-def-type-A"/>
          <w:p>
            <w:pPr>
              <w:pStyle w:val="BodyText"/>
            </w:pPr>
            <w:r>
              <w:rPr>
                <w:i/>
                <w:iCs/>
              </w:rPr>
              <w:t xml:space="preserve">Solution 1</w:t>
            </w:r>
            <w:r>
              <w:t xml:space="preserve">. </w:t>
            </w:r>
            <w:r>
              <w:rPr>
                <w:i/>
                <w:iCs/>
              </w:rPr>
              <w:t xml:space="preserve">From Wikipedia,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“Type A and Type B personality theory”</w:t>
            </w:r>
            <w:r>
              <w:rPr>
                <w:i/>
                <w:iCs/>
              </w:rPr>
              <w:t xml:space="preserve">:</w:t>
            </w:r>
          </w:p>
          <w:p>
            <w:pPr>
              <w:pStyle w:val="BodyText"/>
            </w:pPr>
            <w:r>
              <w:t xml:space="preserve">“The hypothesis describes Type A individuals as outgoing, ambitious,</w:t>
            </w:r>
            <w:r>
              <w:t xml:space="preserve"> </w:t>
            </w:r>
            <w:r>
              <w:t xml:space="preserve">rigidly organized, highly status-conscious, impatient, anxious,</w:t>
            </w:r>
            <w:r>
              <w:t xml:space="preserve"> </w:t>
            </w:r>
            <w:r>
              <w:t xml:space="preserve">proactive, and concerned with time management….</w:t>
            </w:r>
          </w:p>
          <w:p>
            <w:pPr>
              <w:pStyle w:val="BodyText"/>
            </w:pPr>
            <w:r>
              <w:t xml:space="preserve">The hypothesis describes Type B individuals as a contrast to those of</w:t>
            </w:r>
            <w:r>
              <w:t xml:space="preserve"> </w:t>
            </w:r>
            <w:r>
              <w:t xml:space="preserve">Type A. Type B personalities, by definition, are noted to live at lower</w:t>
            </w:r>
            <w:r>
              <w:t xml:space="preserve"> </w:t>
            </w:r>
            <w:r>
              <w:t xml:space="preserve">stress levels. They typically work steadily and may enjoy achievement,</w:t>
            </w:r>
            <w:r>
              <w:t xml:space="preserve"> </w:t>
            </w:r>
            <w:r>
              <w:t xml:space="preserve">although they have a greater tendency to disregard physical or mental</w:t>
            </w:r>
            <w:r>
              <w:t xml:space="preserve"> </w:t>
            </w:r>
            <w:r>
              <w:t xml:space="preserve">stress when they do not achieve.”</w:t>
            </w:r>
          </w:p>
          <w:bookmarkEnd w:id="14"/>
          <w:p/>
        </w:tc>
      </w:tr>
    </w:tbl>
    <w:p>
      <w:r>
        <w:pict>
          <v:rect style="width:0;height:1.5pt" o:hralign="center" o:hrstd="t" o:hr="t"/>
        </w:pict>
      </w:r>
    </w:p>
    <w:bookmarkStart w:id="15" w:name="study-design"/>
    <w:p>
      <w:pPr>
        <w:pStyle w:val="Heading4"/>
      </w:pPr>
      <w:r>
        <w:t xml:space="preserve">Study design</w: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?faraway::wcgs</w:t>
      </w:r>
      <w:r>
        <w:rPr>
          <w:i/>
          <w:iCs/>
        </w:rPr>
        <w:t xml:space="preserve">:</w:t>
      </w:r>
    </w:p>
    <w:p>
      <w:pPr>
        <w:pStyle w:val="BodyText"/>
      </w:pPr>
      <w:r>
        <w:t xml:space="preserve">3154 healthy young men aged 39-59 from the San Francisco area were</w:t>
      </w:r>
      <w:r>
        <w:t xml:space="preserve"> </w:t>
      </w:r>
      <w:r>
        <w:t xml:space="preserve">assessed for their personality type. All were free from coronary heart</w:t>
      </w:r>
      <w:r>
        <w:t xml:space="preserve"> </w:t>
      </w:r>
      <w:r>
        <w:t xml:space="preserve">disease at the start of the research. Eight and a half years later</w:t>
      </w:r>
      <w:r>
        <w:t xml:space="preserve"> </w:t>
      </w:r>
      <w:r>
        <w:t xml:space="preserve">change in CHD status was recorded.</w:t>
      </w:r>
    </w:p>
    <w:p>
      <w:pPr>
        <w:pStyle w:val="BodyText"/>
      </w:pPr>
      <w:r>
        <w:rPr>
          <w:i/>
          <w:iCs/>
        </w:rPr>
        <w:t xml:space="preserve">Details (from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faraway::wcgs</w:t>
      </w:r>
      <w:r>
        <w:rPr>
          <w:i/>
          <w:iCs/>
        </w:rPr>
        <w:t xml:space="preserve">)</w:t>
      </w:r>
    </w:p>
    <w:p>
      <w:pPr>
        <w:pStyle w:val="BodyText"/>
      </w:pPr>
      <w:r>
        <w:t xml:space="preserve">The WCGS began in 1960 with 3,524 male volunteers who were employed by</w:t>
      </w:r>
      <w:r>
        <w:t xml:space="preserve"> </w:t>
      </w:r>
      <w:r>
        <w:t xml:space="preserve">11 California companies. Subjects were 39 to 59 years old and free of</w:t>
      </w:r>
      <w:r>
        <w:t xml:space="preserve"> </w:t>
      </w:r>
      <w:r>
        <w:t xml:space="preserve">heart disease as determined by electrocardiogram. After the initial</w:t>
      </w:r>
      <w:r>
        <w:t xml:space="preserve"> </w:t>
      </w:r>
      <w:r>
        <w:t xml:space="preserve">screening, the study population dropped to 3,154 and the number of</w:t>
      </w:r>
      <w:r>
        <w:t xml:space="preserve"> </w:t>
      </w:r>
      <w:r>
        <w:t xml:space="preserve">companies to 10 because of various exclusions. The cohort comprised both</w:t>
      </w:r>
      <w:r>
        <w:t xml:space="preserve"> </w:t>
      </w:r>
      <w:r>
        <w:t xml:space="preserve">blue- and white-collar employees.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7" w:name="baseline-data-collection"/>
    <w:p>
      <w:pPr>
        <w:pStyle w:val="Heading3"/>
      </w:pPr>
      <w:r>
        <w:t xml:space="preserve">1.0.2 Baseline data collection</w:t>
      </w:r>
    </w:p>
    <w:p>
      <w:pPr>
        <w:pStyle w:val="FirstParagraph"/>
      </w:pPr>
      <w:r>
        <w:t xml:space="preserve">socio-demographic characteristics:</w:t>
      </w:r>
    </w:p>
    <w:p>
      <w:pPr>
        <w:pStyle w:val="Compact"/>
        <w:numPr>
          <w:ilvl w:val="0"/>
          <w:numId w:val="1002"/>
        </w:numPr>
      </w:pPr>
      <w:r>
        <w:t xml:space="preserve">age</w:t>
      </w:r>
    </w:p>
    <w:p>
      <w:pPr>
        <w:pStyle w:val="Compact"/>
        <w:numPr>
          <w:ilvl w:val="0"/>
          <w:numId w:val="1002"/>
        </w:numPr>
      </w:pPr>
      <w:r>
        <w:t xml:space="preserve">education</w:t>
      </w:r>
    </w:p>
    <w:p>
      <w:pPr>
        <w:pStyle w:val="Compact"/>
        <w:numPr>
          <w:ilvl w:val="0"/>
          <w:numId w:val="1002"/>
        </w:numPr>
      </w:pPr>
      <w:r>
        <w:t xml:space="preserve">marital status</w:t>
      </w:r>
    </w:p>
    <w:p>
      <w:pPr>
        <w:pStyle w:val="Compact"/>
        <w:numPr>
          <w:ilvl w:val="0"/>
          <w:numId w:val="1002"/>
        </w:numPr>
      </w:pPr>
      <w:r>
        <w:t xml:space="preserve">income</w:t>
      </w:r>
    </w:p>
    <w:p>
      <w:pPr>
        <w:pStyle w:val="Compact"/>
        <w:numPr>
          <w:ilvl w:val="0"/>
          <w:numId w:val="1002"/>
        </w:numPr>
      </w:pPr>
      <w:r>
        <w:t xml:space="preserve">occupation</w:t>
      </w:r>
    </w:p>
    <w:p>
      <w:pPr>
        <w:pStyle w:val="Compact"/>
        <w:numPr>
          <w:ilvl w:val="0"/>
          <w:numId w:val="1002"/>
        </w:numPr>
      </w:pPr>
      <w:r>
        <w:t xml:space="preserve">physical and physiological including:</w:t>
      </w:r>
    </w:p>
    <w:p>
      <w:pPr>
        <w:pStyle w:val="Compact"/>
        <w:numPr>
          <w:ilvl w:val="0"/>
          <w:numId w:val="1002"/>
        </w:numPr>
      </w:pPr>
      <w:r>
        <w:t xml:space="preserve">height</w:t>
      </w:r>
    </w:p>
    <w:p>
      <w:pPr>
        <w:pStyle w:val="Compact"/>
        <w:numPr>
          <w:ilvl w:val="0"/>
          <w:numId w:val="1002"/>
        </w:numPr>
      </w:pPr>
      <w:r>
        <w:t xml:space="preserve">weight</w:t>
      </w:r>
    </w:p>
    <w:p>
      <w:pPr>
        <w:pStyle w:val="Compact"/>
        <w:numPr>
          <w:ilvl w:val="0"/>
          <w:numId w:val="1002"/>
        </w:numPr>
      </w:pPr>
      <w:r>
        <w:t xml:space="preserve">blood pressure</w:t>
      </w:r>
    </w:p>
    <w:p>
      <w:pPr>
        <w:pStyle w:val="Compact"/>
        <w:numPr>
          <w:ilvl w:val="0"/>
          <w:numId w:val="1002"/>
        </w:numPr>
      </w:pPr>
      <w:r>
        <w:t xml:space="preserve">electrocardiogram</w:t>
      </w:r>
    </w:p>
    <w:p>
      <w:pPr>
        <w:pStyle w:val="Compact"/>
        <w:numPr>
          <w:ilvl w:val="0"/>
          <w:numId w:val="1002"/>
        </w:numPr>
      </w:pPr>
      <w:r>
        <w:t xml:space="preserve">corneal arcus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biochemical measurements:</w:t>
      </w:r>
    </w:p>
    <w:p>
      <w:pPr>
        <w:pStyle w:val="Compact"/>
        <w:numPr>
          <w:ilvl w:val="0"/>
          <w:numId w:val="1003"/>
        </w:numPr>
      </w:pPr>
      <w:r>
        <w:t xml:space="preserve">cholesterol and lipoprotein fractions;</w:t>
      </w:r>
    </w:p>
    <w:p>
      <w:pPr>
        <w:pStyle w:val="Compact"/>
        <w:numPr>
          <w:ilvl w:val="0"/>
          <w:numId w:val="1003"/>
        </w:numPr>
      </w:pPr>
      <w:r>
        <w:t xml:space="preserve">medical and family history and use of medications;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behavioral data:</w:t>
      </w:r>
    </w:p>
    <w:p>
      <w:pPr>
        <w:pStyle w:val="Compact"/>
        <w:numPr>
          <w:ilvl w:val="0"/>
          <w:numId w:val="1004"/>
        </w:numPr>
      </w:pPr>
      <w:r>
        <w:t xml:space="preserve">Type A interview,</w:t>
      </w:r>
    </w:p>
    <w:p>
      <w:pPr>
        <w:pStyle w:val="Compact"/>
        <w:numPr>
          <w:ilvl w:val="0"/>
          <w:numId w:val="1004"/>
        </w:numPr>
      </w:pPr>
      <w:r>
        <w:t xml:space="preserve">smoking,</w:t>
      </w:r>
    </w:p>
    <w:p>
      <w:pPr>
        <w:pStyle w:val="Compact"/>
        <w:numPr>
          <w:ilvl w:val="0"/>
          <w:numId w:val="1004"/>
        </w:numPr>
      </w:pPr>
      <w:r>
        <w:t xml:space="preserve">exercise</w:t>
      </w:r>
    </w:p>
    <w:p>
      <w:pPr>
        <w:pStyle w:val="Compact"/>
        <w:numPr>
          <w:ilvl w:val="0"/>
          <w:numId w:val="1004"/>
        </w:numPr>
      </w:pPr>
      <w:r>
        <w:t xml:space="preserve">alcohol use.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Later surveys added data on:</w:t>
      </w:r>
    </w:p>
    <w:p>
      <w:pPr>
        <w:pStyle w:val="Compact"/>
        <w:numPr>
          <w:ilvl w:val="0"/>
          <w:numId w:val="1005"/>
        </w:numPr>
      </w:pPr>
      <w:r>
        <w:t xml:space="preserve">anthropometry</w:t>
      </w:r>
    </w:p>
    <w:p>
      <w:pPr>
        <w:pStyle w:val="Compact"/>
        <w:numPr>
          <w:ilvl w:val="0"/>
          <w:numId w:val="1005"/>
        </w:numPr>
      </w:pPr>
      <w:r>
        <w:t xml:space="preserve">triglycerides</w:t>
      </w:r>
    </w:p>
    <w:p>
      <w:pPr>
        <w:pStyle w:val="Compact"/>
        <w:numPr>
          <w:ilvl w:val="0"/>
          <w:numId w:val="1005"/>
        </w:numPr>
      </w:pPr>
      <w:r>
        <w:t xml:space="preserve">Jenkins Activity Survey</w:t>
      </w:r>
    </w:p>
    <w:p>
      <w:pPr>
        <w:pStyle w:val="Compact"/>
        <w:numPr>
          <w:ilvl w:val="0"/>
          <w:numId w:val="1005"/>
        </w:numPr>
      </w:pPr>
      <w:r>
        <w:t xml:space="preserve">caffeine use</w:t>
      </w:r>
    </w:p>
    <w:p>
      <w:pPr>
        <w:pStyle w:val="FirstParagraph"/>
      </w:pPr>
      <w:r>
        <w:t xml:space="preserve">Average follow-up continued for 8.5 years with repeat examinations.</w:t>
      </w:r>
    </w:p>
    <w:p>
      <w:r>
        <w:pict>
          <v:rect style="width:0;height:1.5pt" o:hralign="center" o:hrstd="t" o:hr="t"/>
        </w:pict>
      </w:r>
    </w:p>
    <w:bookmarkEnd w:id="17"/>
    <w:bookmarkStart w:id="18" w:name="sec-load-wcgs"/>
    <w:p>
      <w:pPr>
        <w:pStyle w:val="Heading2"/>
      </w:pPr>
      <w:r>
        <w:t xml:space="preserve">1.1 Load the data</w:t>
      </w:r>
    </w:p>
    <w:p>
      <w:pPr>
        <w:pStyle w:val="SourceCode"/>
      </w:pPr>
      <w:r>
        <w:rPr>
          <w:rStyle w:val="DocumentationTok"/>
        </w:rPr>
        <w:t xml:space="preserve">### load the data directly from a UCSF website:</w:t>
      </w:r>
      <w:r>
        <w:br/>
      </w:r>
      <w:r>
        <w:rPr>
          <w:rStyle w:val="NormalTok"/>
        </w:rPr>
        <w:t xml:space="preserve">url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"https://regression.ucsf.edu/sites/g/files/"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"tkssra6706/f/wysiwyg/home/data/wcgs.dta"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wcgs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haven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read_dta</w:t>
      </w:r>
      <w:r>
        <w:rPr>
          <w:rStyle w:val="NormalTok"/>
        </w:rPr>
        <w:t xml:space="preserve">(url)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labelled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set_variable_labels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age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chol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"Cholesterol (mg/dL)"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sbp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"Systolic BP (mmHg)"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dbp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"Diastolic BP (mmHg)"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bmi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"BMI (kg/m\u00B2)"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weight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 (lbs)"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ncigs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"Cigarettes per day"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chd69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"CHD event by 1969"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smoke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"Current smoker"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arcus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"Arcus senilis"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dibpat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"Behavioral pattern (A/B)"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behpat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"Behavioral pattern (A1/A2/B3/B4)"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wghtcat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 category"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agec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 group"</w:t>
      </w:r>
      <w:r>
        <w:br/>
      </w:r>
      <w:r>
        <w:rPr>
          <w:rStyle w:val="NormalTok"/>
        </w:rPr>
        <w:t xml:space="preserve">  )</w:t>
      </w:r>
    </w:p>
    <w:bookmarkEnd w:id="18"/>
    <w:bookmarkEnd w:id="19"/>
    <w:bookmarkStart w:id="33" w:name="summarizing-a-single-variable"/>
    <w:p>
      <w:pPr>
        <w:pStyle w:val="Heading1"/>
      </w:pPr>
      <w:r>
        <w:t xml:space="preserve">2. Summarizing a single variable</w:t>
      </w:r>
    </w:p>
    <w:bookmarkStart w:id="30" w:name="continuous-variables"/>
    <w:p>
      <w:pPr>
        <w:pStyle w:val="Heading2"/>
      </w:pPr>
      <w:r>
        <w:t xml:space="preserve">2.1 Continuous variables</w:t>
      </w:r>
    </w:p>
    <w:bookmarkStart w:id="22" w:name="measures-of-center"/>
    <w:p>
      <w:pPr>
        <w:pStyle w:val="Heading3"/>
      </w:pPr>
      <w:r>
        <w:t xml:space="preserve">2.1.1 Measures of center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0" w:name="def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 a variable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measured on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observations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0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1" w:name="def-median"/>
          <w:p>
            <w:pPr>
              <w:pStyle w:val="BodyText"/>
            </w:pPr>
            <w:r>
              <w:rPr>
                <w:b/>
                <w:bCs/>
              </w:rPr>
              <w:t xml:space="preserve">Definition 2 (Median)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median</w:t>
            </w:r>
            <w:r>
              <w:t xml:space="preserve"> </w:t>
            </w:r>
            <w:r>
              <w:t xml:space="preserve">is the value that divides the sorted data in half:</w:t>
            </w:r>
            <w:r>
              <w:t xml:space="preserve"> </w:t>
            </w:r>
            <w:r>
              <w:t xml:space="preserve">50% of observations fall below and 50% above.</w:t>
            </w:r>
            <w:r>
              <w:t xml:space="preserve"> </w:t>
            </w:r>
            <w:r>
              <w:t xml:space="preserve">The median is more robust to outliers than the mean.</w:t>
            </w:r>
          </w:p>
          <w:bookmarkEnd w:id="21"/>
        </w:tc>
      </w:tr>
    </w:tbl>
    <w:p>
      <w:r>
        <w:pict>
          <v:rect style="width:0;height:1.5pt" o:hralign="center" o:hrstd="t" o:hr="t"/>
        </w:pict>
      </w:r>
    </w:p>
    <w:bookmarkEnd w:id="22"/>
    <w:bookmarkStart w:id="27" w:name="measures-of-spread"/>
    <w:p>
      <w:pPr>
        <w:pStyle w:val="Heading3"/>
      </w:pPr>
      <w:r>
        <w:t xml:space="preserve">2.1.2 Measures of spread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3" w:name="def-eda-variance"/>
          <w:p>
            <w:pPr>
              <w:pStyle w:val="BodyText"/>
            </w:pPr>
            <w:r>
              <w:rPr>
                <w:b/>
                <w:bCs/>
              </w:rPr>
              <w:t xml:space="preserve">Definition 3 (Sample variance)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variance</w:t>
            </w:r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s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rPr>
                        <m:sty m:val="p"/>
                      </m:rPr>
                      <m:t>(</m:t>
                    </m:r>
                  </m:e>
                </m:nary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−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2</m:t>
                    </m:r>
                  </m:sup>
                </m:sSup>
              </m:oMath>
            </m:oMathPara>
          </w:p>
          <w:bookmarkEnd w:id="23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4" w:name="def-eda-sd"/>
          <w:p>
            <w:pPr>
              <w:pStyle w:val="BodyText"/>
            </w:pPr>
            <w:r>
              <w:rPr>
                <w:b/>
                <w:bCs/>
              </w:rPr>
              <w:t xml:space="preserve">Definition 4 (Sample standard deviation)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standard deviation</w:t>
            </w:r>
            <w:r>
              <w:t xml:space="preserve"> </w:t>
            </w:r>
            <w:r>
              <w:t xml:space="preserve">is the square root of the sample variance: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s</m:t>
                </m:r>
                <m:r>
                  <m:rPr>
                    <m:sty m:val="p"/>
                  </m:rPr>
                  <m:t>=</m:t>
                </m:r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s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</m:rad>
              </m:oMath>
            </m:oMathPara>
          </w:p>
          <w:p>
            <w:pPr>
              <w:pStyle w:val="FirstParagraph"/>
            </w:pPr>
            <w:r>
              <w:t xml:space="preserve">The standard deviation has the same units as the original variable,</w:t>
            </w:r>
            <w:r>
              <w:t xml:space="preserve"> </w:t>
            </w:r>
            <w:r>
              <w:t xml:space="preserve">making it easier to interpret than the variance.</w:t>
            </w:r>
          </w:p>
          <w:bookmarkEnd w:id="24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5" w:name="def-quantile"/>
          <w:p>
            <w:pPr>
              <w:pStyle w:val="BodyText"/>
            </w:pPr>
            <w:r>
              <w:rPr>
                <w:b/>
                <w:bCs/>
              </w:rPr>
              <w:t xml:space="preserve">Definition 5 (Quantiles and percentiles)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m:oMath>
              <m:r>
                <m:t>p</m:t>
              </m:r>
            </m:oMath>
            <w:r>
              <w:rPr>
                <w:b/>
                <w:bCs/>
              </w:rPr>
              <w:t xml:space="preserve">th quantile</w:t>
            </w:r>
            <w:r>
              <w:t xml:space="preserve"> </w:t>
            </w:r>
            <w:r>
              <w:t xml:space="preserve">(or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100</m:t>
              </m:r>
              <m:r>
                <m:t>p</m:t>
              </m:r>
              <m:r>
                <m:rPr>
                  <m:sty m:val="p"/>
                </m:rPr>
                <m:t>)</m:t>
              </m:r>
            </m:oMath>
            <w:r>
              <w:rPr>
                <w:b/>
                <w:bCs/>
              </w:rPr>
              <w:t xml:space="preserve">th percentile</w:t>
            </w:r>
            <w:r>
              <w:t xml:space="preserve">) of a variable</w:t>
            </w:r>
            <w:r>
              <w:t xml:space="preserve"> </w:t>
            </w:r>
            <w:r>
              <w:t xml:space="preserve">is the value below which a proportion</w:t>
            </w:r>
            <w:r>
              <w:t xml:space="preserve"> </w:t>
            </w:r>
            <m:oMath>
              <m:r>
                <m:t>p</m:t>
              </m:r>
            </m:oMath>
            <w:r>
              <w:t xml:space="preserve"> </w:t>
            </w:r>
            <w:r>
              <w:t xml:space="preserve">of the data falls.</w:t>
            </w:r>
          </w:p>
          <w:p>
            <w:pPr>
              <w:pStyle w:val="BodyText"/>
            </w:pPr>
            <w:r>
              <w:t xml:space="preserve">Special cases: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median</w:t>
            </w:r>
            <w:r>
              <w:t xml:space="preserve"> </w:t>
            </w:r>
            <w:r>
              <w:t xml:space="preserve">is the 50th percentile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first quartile</w:t>
            </w:r>
            <w:r>
              <w:t xml:space="preserve"> </w:t>
            </w:r>
            <w:r>
              <w:t xml:space="preserve">(Q1) is the 25th percentile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0.25</m:t>
              </m:r>
            </m:oMath>
            <w:r>
              <w:t xml:space="preserve">).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third quartile</w:t>
            </w:r>
            <w:r>
              <w:t xml:space="preserve"> </w:t>
            </w:r>
            <w:r>
              <w:t xml:space="preserve">(Q3) is the 75th percentile (</w:t>
            </w: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0.75</m:t>
              </m:r>
            </m:oMath>
            <w:r>
              <w:t xml:space="preserve">).</w:t>
            </w:r>
          </w:p>
          <w:bookmarkEnd w:id="25"/>
        </w:tc>
      </w:tr>
    </w:tbl>
    <w:p>
      <w:r>
        <w:pict>
          <v:rect style="width:0;height:1.5pt" o:hralign="center" o:hrstd="t" o:hr="t"/>
        </w:pic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26" w:name="def-iqr"/>
          <w:p>
            <w:pPr>
              <w:pStyle w:val="BodyText"/>
            </w:pPr>
            <w:r>
              <w:rPr>
                <w:b/>
                <w:bCs/>
              </w:rPr>
              <w:t xml:space="preserve">Definition 6 (Interquartile range)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interquartile range</w:t>
            </w:r>
            <w:r>
              <w:t xml:space="preserve"> </w:t>
            </w:r>
            <w:r>
              <w:t xml:space="preserve">(IQR)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IQR</m:t>
                </m:r>
                <m:r>
                  <m:rPr>
                    <m:sty m:val="p"/>
                  </m:rPr>
                  <m:t>=</m:t>
                </m:r>
                <m:sSub>
                  <m:e>
                    <m:r>
                      <m:t>Q</m:t>
                    </m:r>
                  </m:e>
                  <m:sub>
                    <m:r>
                      <m:t>3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e>
                    <m:r>
                      <m:t>Q</m:t>
                    </m:r>
                  </m:e>
                  <m:sub>
                    <m:r>
                      <m:t>1</m:t>
                    </m:r>
                  </m:sub>
                </m:sSub>
              </m:oMath>
            </m:oMathPara>
          </w:p>
          <w:p>
            <w:pPr>
              <w:pStyle w:val="FirstParagraph"/>
            </w:pPr>
            <w:r>
              <w:t xml:space="preserve">The IQR contains the middle 50% of the data and</w:t>
            </w:r>
            <w:r>
              <w:t xml:space="preserve"> </w:t>
            </w:r>
            <w:r>
              <w:t xml:space="preserve">is more robust to outliers than the standard deviation.</w:t>
            </w:r>
          </w:p>
          <w:bookmarkEnd w:id="26"/>
        </w:tc>
      </w:tr>
    </w:tbl>
    <w:p>
      <w:r>
        <w:pict>
          <v:rect style="width:0;height:1.5pt" o:hralign="center" o:hrstd="t" o:hr="t"/>
        </w:pict>
      </w:r>
    </w:p>
    <w:bookmarkEnd w:id="27"/>
    <w:bookmarkStart w:id="29" w:name="summary-statistics-in-r"/>
    <w:p>
      <w:pPr>
        <w:pStyle w:val="Heading3"/>
      </w:pPr>
      <w:r>
        <w:t xml:space="preserve">2.1.3 Summary statistics in 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summary()</w:t>
      </w:r>
      <w:r>
        <w:t xml:space="preserve"> </w:t>
      </w:r>
      <w:r>
        <w:t xml:space="preserve">function provides a quick overview of any variable:</w:t>
      </w:r>
    </w:p>
    <w:p>
      <w:pPr>
        <w:pStyle w:val="SourceCode"/>
      </w:pPr>
      <w:r>
        <w:rPr>
          <w:rStyle w:val="FunctionTok"/>
        </w:rPr>
        <w:t xml:space="preserve">summary</w:t>
      </w:r>
      <w:r>
        <w:rPr>
          <w:rStyle w:val="NormalTok"/>
        </w:rPr>
        <w:t xml:space="preserve">(wcgs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chol)</w:t>
      </w:r>
      <w:r>
        <w:br/>
      </w:r>
      <w:r>
        <w:rPr>
          <w:rStyle w:val="CommentTok"/>
        </w:rPr>
        <w:t xml:space="preserve">#&gt;    Min. 1st Qu.  Median    Mean 3rd Qu.    Max.     NAs </w:t>
      </w:r>
      <w:r>
        <w:br/>
      </w:r>
      <w:r>
        <w:rPr>
          <w:rStyle w:val="CommentTok"/>
        </w:rPr>
        <w:t xml:space="preserve">#&gt;     103     197     223     226     253     645      12</w:t>
      </w:r>
    </w:p>
    <w:p>
      <w:pPr>
        <w:pStyle w:val="FirstParagraph"/>
      </w:pPr>
      <w:r>
        <w:t xml:space="preserve">For a formatted summary table,</w:t>
      </w:r>
      <w:r>
        <w:t xml:space="preserve"> </w:t>
      </w:r>
      <w:r>
        <w:rPr>
          <w:rStyle w:val="VerbatimChar"/>
        </w:rPr>
        <w:t xml:space="preserve">gtsummary::tbl_summary()</w:t>
      </w:r>
      <w:r>
        <w:t xml:space="preserve"> </w:t>
      </w:r>
      <w:r>
        <w:t xml:space="preserve">is useful: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(age, chol, sbp, dbp, bmi, weight)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"{mean} ({sd}); {median} [{p25}, {p75}]"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wcgs-summary-continuou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WCGS: descriptive statistics for continuous variables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Age (years)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46.3 (5.5); 45.0 [42.0, 50.0]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Cholesterol (mg/dL)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226.4 (43.4); 223.0 [197.0, 253.0]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Unknown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Systolic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128.6 (15.1); 126.0 [120.0, 136.0]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Diastolic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82.0 (9.7); 80.0 [76.0, 86.0]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BMI (kg/m²)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24.5 (2.6); 24.4 [23.0, 25.8]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Weight (lbs)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170.0 (21.1); 170.0 [155.0, 182.0]</w:t>
                  </w:r>
                </w:p>
              </w:tc>
            </w:tr>
            <w:tr>
              <w:trPr>
                <w:cantSplit/>
              </w:trPr>
              <w:tc>
                <w:tcPr>
                  <w:gridSpan w:val="2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Mean (SD); Median [Q1, Q3]</w:t>
                  </w:r>
                </w:p>
              </w:tc>
            </w:tr>
          </w:tbl>
          <w:bookmarkEnd w:id="28"/>
        </w:tc>
      </w:tr>
    </w:tbl>
    <w:bookmarkEnd w:id="29"/>
    <w:bookmarkEnd w:id="30"/>
    <w:bookmarkStart w:id="32" w:name="binary-and-categorical-variables"/>
    <w:p>
      <w:pPr>
        <w:pStyle w:val="Heading2"/>
      </w:pPr>
      <w:r>
        <w:t xml:space="preserve">2.2 Binary and categorical variables</w:t>
      </w:r>
    </w:p>
    <w:p>
      <w:pPr>
        <w:pStyle w:val="FirstParagraph"/>
      </w:pPr>
      <w:r>
        <w:t xml:space="preserve">For binary and categorical variables,</w:t>
      </w:r>
      <w:r>
        <w:t xml:space="preserve"> </w:t>
      </w:r>
      <w:r>
        <w:t xml:space="preserve">the natural descriptive statistics are</w:t>
      </w:r>
      <w:r>
        <w:t xml:space="preserve"> </w:t>
      </w:r>
      <w:r>
        <w:rPr>
          <w:b/>
          <w:bCs/>
        </w:rPr>
        <w:t xml:space="preserve">frequencies</w:t>
      </w:r>
      <w:r>
        <w:t xml:space="preserve"> </w:t>
      </w:r>
      <w:r>
        <w:t xml:space="preserve">(counts) and</w:t>
      </w:r>
      <w:r>
        <w:t xml:space="preserve"> </w:t>
      </w:r>
      <w:r>
        <w:rPr>
          <w:b/>
          <w:bCs/>
        </w:rPr>
        <w:t xml:space="preserve">proportions</w:t>
      </w:r>
      <w:r>
        <w:t xml:space="preserve"> </w:t>
      </w:r>
      <w:r>
        <w:t xml:space="preserve">(relative frequencies).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(chd69, smoke, dibpat, behpat, wghtcat)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1" w:name="tbl-wcgs-summary-cat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Frequency table for categorical variables in the WCGS dataset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CHD event by 1969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257 (8.1%)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Current smoker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1,502 (48%)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(A/B)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B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1,565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1,589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(A1/A2/B3/B4)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264 (8.4%)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1,325 (42%)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1,216 (39%)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349 (11%)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Weight category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&lt; 140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232 (7.4%)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140-170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1,538 (49%)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170-200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1,171 (37%)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&gt; 200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213 (6.8%)</w:t>
                  </w:r>
                </w:p>
              </w:tc>
            </w:tr>
            <w:tr>
              <w:trPr>
                <w:cantSplit/>
              </w:trPr>
              <w:tc>
                <w:tcPr>
                  <w:gridSpan w:val="2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n (%)</w:t>
                  </w:r>
                </w:p>
              </w:tc>
            </w:tr>
          </w:tbl>
          <w:bookmarkEnd w:id="31"/>
        </w:tc>
      </w:tr>
    </w:tbl>
    <w:bookmarkEnd w:id="32"/>
    <w:bookmarkEnd w:id="33"/>
    <w:bookmarkStart w:id="59" w:name="graphical-methods"/>
    <w:p>
      <w:pPr>
        <w:pStyle w:val="Heading1"/>
      </w:pPr>
      <w:r>
        <w:t xml:space="preserve">3. Graphical methods</w:t>
      </w:r>
    </w:p>
    <w:p>
      <w:pPr>
        <w:pStyle w:val="FirstParagraph"/>
      </w:pPr>
      <w:r>
        <w:t xml:space="preserve">Graphs are often more informative than summary statistics alone.</w:t>
      </w:r>
      <w:r>
        <w:t xml:space="preserve"> </w:t>
      </w:r>
      <w:r>
        <w:t xml:space="preserve">Different graph types are appropriate for different variable types.</w:t>
      </w:r>
    </w:p>
    <w:bookmarkStart w:id="38" w:name="histograms"/>
    <w:p>
      <w:pPr>
        <w:pStyle w:val="Heading2"/>
      </w:pPr>
      <w:r>
        <w:t xml:space="preserve">3.1 Histograms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histogram</w:t>
      </w:r>
      <w:r>
        <w:t xml:space="preserve"> </w:t>
      </w:r>
      <w:r>
        <w:t xml:space="preserve">displays the distribution of a continuous variable</w:t>
      </w:r>
      <w:r>
        <w:t xml:space="preserve"> </w:t>
      </w:r>
      <w:r>
        <w:t xml:space="preserve">by dividing its range into bins and counting the number of observations in each.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7" w:name="fig-hist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hist-chol-1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Histogram of total cholesterol in the WCGS dataset</w:t>
            </w:r>
          </w:p>
          <w:bookmarkEnd w:id="37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histogram in</w:t>
      </w:r>
      <w:r>
        <w:t xml:space="preserve"> </w:t>
      </w:r>
      <w:hyperlink w:anchor="fig-hist-chol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 that</w:t>
      </w:r>
      <w:r>
        <w:t xml:space="preserve"> </w:t>
      </w:r>
      <w:r>
        <w:t xml:space="preserve">cholesterol in the WCGS is roughly bell-shaped (approximately normal),</w:t>
      </w:r>
      <w:r>
        <w:t xml:space="preserve"> </w:t>
      </w:r>
      <w:r>
        <w:t xml:space="preserve">with most values between 150 and 350 mg/dL.</w:t>
      </w:r>
    </w:p>
    <w:bookmarkEnd w:id="38"/>
    <w:bookmarkStart w:id="43" w:name="density-plots"/>
    <w:p>
      <w:pPr>
        <w:pStyle w:val="Heading2"/>
      </w:pPr>
      <w:r>
        <w:t xml:space="preserve">3.2 Density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density plot</w:t>
      </w:r>
      <w:r>
        <w:t xml:space="preserve"> </w:t>
      </w:r>
      <w:r>
        <w:t xml:space="preserve">shows a smoothed estimate of the distribution,</w:t>
      </w:r>
      <w:r>
        <w:t xml:space="preserve"> </w:t>
      </w:r>
      <w:r>
        <w:t xml:space="preserve">which can be easier to interpret than a histogram.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geom_density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"Density"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2" w:name="fig-density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density-chol-1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Density plot of total cholesterol in the WCGS dataset</w:t>
            </w:r>
          </w:p>
          <w:bookmarkEnd w:id="42"/>
        </w:tc>
      </w:tr>
    </w:tbl>
    <w:bookmarkEnd w:id="43"/>
    <w:bookmarkStart w:id="48" w:name="box-plots"/>
    <w:p>
      <w:pPr>
        <w:pStyle w:val="Heading2"/>
      </w:pPr>
      <w:r>
        <w:t xml:space="preserve">3.3 Box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box plot</w:t>
      </w:r>
      <w:r>
        <w:t xml:space="preserve"> </w:t>
      </w:r>
      <w:r>
        <w:t xml:space="preserve">(or box-and-whisker plot) summarizes a distribution using</w:t>
      </w:r>
      <w:r>
        <w:t xml:space="preserve"> </w:t>
      </w:r>
      <w:r>
        <w:t xml:space="preserve">the median, quartiles, and extreme values.</w:t>
      </w:r>
    </w:p>
    <w:p>
      <w:pPr>
        <w:pStyle w:val="BodyText"/>
      </w:pPr>
      <w:r>
        <w:t xml:space="preserve">The box spans Q1 to Q3 (the IQR).</w:t>
      </w:r>
      <w:r>
        <w:t xml:space="preserve"> </w:t>
      </w:r>
      <w:r>
        <w:t xml:space="preserve">The line inside the box is the median.</w:t>
      </w:r>
      <w:r>
        <w:t xml:space="preserve"> </w:t>
      </w:r>
      <w:r>
        <w:t xml:space="preserve">The whiskers extend to the most extreme observations</w:t>
      </w:r>
      <w:r>
        <w:t xml:space="preserve"> </w:t>
      </w:r>
      <w:r>
        <w:t xml:space="preserve">within</w:t>
      </w:r>
      <w:r>
        <w:t xml:space="preserve"> </w:t>
      </w:r>
      <m:oMath>
        <m:r>
          <m:t>1.5</m:t>
        </m:r>
        <m:r>
          <m:rPr>
            <m:sty m:val="p"/>
          </m:rPr>
          <m:t>×</m:t>
        </m:r>
        <m:r>
          <m:rPr>
            <m:nor/>
            <m:sty m:val="p"/>
          </m:rPr>
          <m:t>IQR</m:t>
        </m:r>
      </m:oMath>
      <w:r>
        <w:t xml:space="preserve"> </w:t>
      </w:r>
      <w:r>
        <w:t xml:space="preserve">of the box.</w:t>
      </w:r>
      <w:r>
        <w:t xml:space="preserve"> </w:t>
      </w:r>
      <w:r>
        <w:t xml:space="preserve">Points beyond the whiskers are plotted individually as potential outliers.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element_blank</w:t>
      </w:r>
      <w:r>
        <w:rPr>
          <w:rStyle w:val="NormalTok"/>
        </w:rPr>
        <w:t xml:space="preserve">())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7" w:name="fig-box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ox-chol-1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Box plot of total cholesterol in the WCGS dataset</w:t>
            </w:r>
          </w:p>
          <w:bookmarkEnd w:id="47"/>
        </w:tc>
      </w:tr>
    </w:tbl>
    <w:bookmarkEnd w:id="48"/>
    <w:bookmarkStart w:id="53" w:name="bar-charts"/>
    <w:p>
      <w:pPr>
        <w:pStyle w:val="Heading2"/>
      </w:pPr>
      <w:r>
        <w:t xml:space="preserve">3.4 Bar charts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bar chart</w:t>
      </w:r>
      <w:r>
        <w:t xml:space="preserve"> </w:t>
      </w:r>
      <w:r>
        <w:t xml:space="preserve">displays the frequency or proportion of each category</w:t>
      </w:r>
      <w:r>
        <w:t xml:space="preserve"> </w:t>
      </w:r>
      <w:r>
        <w:t xml:space="preserve">of a categorical variable.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behpat)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2" w:name="fig-bar-behpa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ar-behpat-1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Bar chart of behavioral pattern in the WCGS dataset</w:t>
            </w:r>
          </w:p>
          <w:bookmarkEnd w:id="52"/>
        </w:tc>
      </w:tr>
    </w:tbl>
    <w:bookmarkEnd w:id="53"/>
    <w:bookmarkStart w:id="58" w:name="normal-probability-q-q-plots"/>
    <w:p>
      <w:pPr>
        <w:pStyle w:val="Heading2"/>
      </w:pPr>
      <w:r>
        <w:t xml:space="preserve">3.5 Normal probability (Q-Q)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quantile-quantile (Q-Q) plot</w:t>
      </w:r>
      <w:r>
        <w:t xml:space="preserve"> </w:t>
      </w:r>
      <w:r>
        <w:t xml:space="preserve">compares the observed quantiles of a variable</w:t>
      </w:r>
      <w:r>
        <w:t xml:space="preserve"> </w:t>
      </w:r>
      <w:r>
        <w:t xml:space="preserve">to the theoretical quantiles of a normal distribution.</w:t>
      </w:r>
      <w:r>
        <w:t xml:space="preserve"> </w:t>
      </w:r>
      <w:r>
        <w:t xml:space="preserve">If the variable is approximately normally distributed,</w:t>
      </w:r>
      <w:r>
        <w:t xml:space="preserve"> </w:t>
      </w:r>
      <w:r>
        <w:t xml:space="preserve">the points fall close to the diagonal reference line.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stat_qq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stat_qq_line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"Theoretical quantiles"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7" w:name="fig-qq-chol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55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qq-chol-1.png" id="5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Normal Q-Q plot for total cholesterol in the WCGS dataset</w:t>
            </w:r>
          </w:p>
          <w:bookmarkEnd w:id="57"/>
        </w:tc>
      </w:tr>
    </w:tbl>
    <w:bookmarkEnd w:id="58"/>
    <w:bookmarkEnd w:id="59"/>
    <w:bookmarkStart w:id="88" w:name="bivariate-relationships"/>
    <w:p>
      <w:pPr>
        <w:pStyle w:val="Heading1"/>
      </w:pPr>
      <w:r>
        <w:t xml:space="preserve">4. Bivariate relationships</w:t>
      </w:r>
    </w:p>
    <w:bookmarkStart w:id="70" w:name="Xaa4f477924bb4d887997ec98f31d9675b2cc7e9"/>
    <w:p>
      <w:pPr>
        <w:pStyle w:val="Heading2"/>
      </w:pPr>
      <w:r>
        <w:t xml:space="preserve">4.1 Two continuous variables: scatter plots and correlation</w:t>
      </w:r>
    </w:p>
    <w:bookmarkStart w:id="64" w:name="scatter-plots"/>
    <w:p>
      <w:pPr>
        <w:pStyle w:val="Heading3"/>
      </w:pPr>
      <w:r>
        <w:t xml:space="preserve">4.1.1 Scatter plots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scatter plot</w:t>
      </w:r>
      <w:r>
        <w:t xml:space="preserve"> </w:t>
      </w:r>
      <w:r>
        <w:t xml:space="preserve">displays the relationship between two continuous variables</w:t>
      </w:r>
      <w:r>
        <w:t xml:space="preserve"> </w:t>
      </w:r>
      <w:r>
        <w:t xml:space="preserve">by plotting each observation as a point.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sbp,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3" w:name="fig-scatter-chol-sbp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61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scatter-chol-sbp-1.png" id="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Cholesterol vs. systolic BP in the WCGS dataset</w:t>
            </w:r>
          </w:p>
          <w:bookmarkEnd w:id="63"/>
        </w:tc>
      </w:tr>
    </w:tbl>
    <w:bookmarkEnd w:id="64"/>
    <w:bookmarkStart w:id="69" w:name="correlation"/>
    <w:p>
      <w:pPr>
        <w:pStyle w:val="Heading3"/>
      </w:pPr>
      <w:r>
        <w:t xml:space="preserve">4.1.2 Correlation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65" w:name="def-correlation"/>
          <w:p>
            <w:pPr>
              <w:pStyle w:val="BodyText"/>
            </w:pPr>
            <w:r>
              <w:rPr>
                <w:b/>
                <w:bCs/>
              </w:rPr>
              <w:t xml:space="preserve">Definition 7 (Pearson correlation coefficient)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Pearson correlation coefficient</w:t>
            </w:r>
            <w:r>
              <w:t xml:space="preserve"> </w:t>
            </w:r>
            <w:r>
              <w:t xml:space="preserve">measures the strength and direction</w:t>
            </w:r>
            <w:r>
              <w:t xml:space="preserve"> </w:t>
            </w:r>
            <w:r>
              <w:t xml:space="preserve">of a linear relationship between two continuous variables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>(</m:t>
                        </m:r>
                      </m:e>
                    </m:nary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sSub>
                      <m:e>
                        <m:r>
                          <m:t>y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num>
                  <m:den>
                    <m:rad>
                      <m:radPr>
                        <m:degHide m:val="on"/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x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  <m:nary>
                          <m:naryPr>
                            <m:chr m:val="∑"/>
                            <m:limLoc m:val="undOvr"/>
                            <m:subHide m:val="off"/>
                            <m:supHide m:val="off"/>
                          </m:naryPr>
                          <m:sub>
                            <m:r>
                              <m:t>i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b>
                          <m:sup>
                            <m: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</m:e>
                        </m:nary>
                        <m:sSub>
                          <m:e>
                            <m:r>
                              <m:t>y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t>y</m:t>
                            </m:r>
                          </m:e>
                        </m:acc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  <w:p>
            <w:pPr>
              <w:pStyle w:val="FirstParagraph"/>
            </w:pPr>
            <w:r>
              <w:t xml:space="preserve">The correlation coefficient takes values in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]</m:t>
              </m:r>
            </m:oMath>
            <w:r>
              <w:t xml:space="preserve">: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: perfect positive linear relationship.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: perfect negative linear relationship.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: no linear relationship.</w:t>
            </w:r>
          </w:p>
          <w:bookmarkEnd w:id="65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FunctionTok"/>
        </w:rPr>
        <w:t xml:space="preserve">cor</w:t>
      </w:r>
      <w:r>
        <w:rPr>
          <w:rStyle w:val="NormalTok"/>
        </w:rPr>
        <w:t xml:space="preserve">(wcgs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chol, wcgs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sbp, </w:t>
      </w:r>
      <w:r>
        <w:rPr>
          <w:rStyle w:val="AttributeTok"/>
        </w:rPr>
        <w:t xml:space="preserve">use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"complete.obs"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[1] 0.123061</w:t>
      </w:r>
    </w:p>
    <w:p>
      <w:r>
        <w:pict>
          <v:rect style="width:0;height:1.5pt" o:hralign="center" o:hrstd="t" o:hr="t"/>
        </w:pic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FC5300"/>
          <w:left w:val="single" w:sz="24" w:space="0" w:color="FC5300"/>
          <w:bottom w:val="single" w:sz="4" w:space="0" w:color="FC5300"/>
          <w:right w:val="single" w:sz="4" w:space="0" w:color="FC530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fe5d0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caution.png" id="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Correlation measures only</w:t>
            </w:r>
            <w:r>
              <w:t xml:space="preserve"> </w:t>
            </w:r>
            <w:r>
              <w:rPr>
                <w:b/>
                <w:bCs/>
              </w:rPr>
              <w:t xml:space="preserve">linear</w:t>
            </w:r>
            <w:r>
              <w:t xml:space="preserve"> </w:t>
            </w:r>
            <w:r>
              <w:t xml:space="preserve">relationships.</w:t>
            </w:r>
            <w:r>
              <w:t xml:space="preserve"> </w:t>
            </w:r>
            <w:r>
              <w:t xml:space="preserve">Two variables can be strongly related but have a near-zero correlation</w:t>
            </w:r>
            <w:r>
              <w:t xml:space="preserve"> </w:t>
            </w:r>
            <w:r>
              <w:t xml:space="preserve">if the relationship is nonlinear.</w:t>
            </w:r>
            <w:r>
              <w:t xml:space="preserve"> </w:t>
            </w:r>
            <w:r>
              <w:t xml:space="preserve">Furthermore, correlation does not imply causation.</w:t>
            </w:r>
          </w:p>
          <w:p/>
        </w:tc>
      </w:tr>
    </w:tbl>
    <w:bookmarkEnd w:id="69"/>
    <w:bookmarkEnd w:id="70"/>
    <w:bookmarkStart w:id="82" w:name="X07275197443f24c03401a9d146ac6347fba19b0"/>
    <w:p>
      <w:pPr>
        <w:pStyle w:val="Heading2"/>
      </w:pPr>
      <w:r>
        <w:t xml:space="preserve">4.2 Continuous outcome by a binary or categorical variable</w:t>
      </w:r>
    </w:p>
    <w:bookmarkStart w:id="79" w:name="side-by-side-box-plots"/>
    <w:p>
      <w:pPr>
        <w:pStyle w:val="Heading3"/>
      </w:pPr>
      <w:r>
        <w:t xml:space="preserve">4.2.1 Side-by-side box plots</w:t>
      </w:r>
    </w:p>
    <w:p>
      <w:pPr>
        <w:pStyle w:val="FirstParagraph"/>
      </w:pPr>
      <w:r>
        <w:t xml:space="preserve">Side-by-side box plots are useful for comparing the distribution of a</w:t>
      </w:r>
      <w:r>
        <w:t xml:space="preserve"> </w:t>
      </w:r>
      <w:r>
        <w:t xml:space="preserve">continuous variable across groups defined by a categorical variable.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smoke,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smoke)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4" w:name="fig-box-chol-by-smoke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2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ox-chol-by-smoke-1.png" id="7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Box plots of cholesterol by smoking status in the WCGS dataset</w:t>
            </w:r>
          </w:p>
          <w:bookmarkEnd w:id="74"/>
        </w:tc>
      </w:tr>
    </w:tbl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behpat,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chol,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behpat)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8" w:name="fig-box-chol-by-behpa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76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box-chol-by-behpat-1.png" id="7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Box plots of cholesterol by behavioral pattern in the WCGS dataset</w:t>
            </w:r>
          </w:p>
          <w:bookmarkEnd w:id="78"/>
        </w:tc>
      </w:tr>
    </w:tbl>
    <w:bookmarkEnd w:id="79"/>
    <w:bookmarkStart w:id="81" w:name="summary-statistics-by-group"/>
    <w:p>
      <w:pPr>
        <w:pStyle w:val="Heading3"/>
      </w:pPr>
      <w:r>
        <w:t xml:space="preserve">4.2.2 Summary statistics by group</w:t>
      </w:r>
    </w:p>
    <w:p>
      <w:pPr>
        <w:pStyle w:val="FirstParagraph"/>
      </w:pPr>
      <w:r>
        <w:t xml:space="preserve">We can compute summary statistics separately for each group: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(chol, sbp, bmi, chd69)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chd69,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"{mean} ({sd})"</w:t>
      </w:r>
      <w:r>
        <w:br/>
      </w:r>
      <w:r>
        <w:rPr>
          <w:rStyle w:val="NormalTok"/>
        </w:rPr>
        <w:t xml:space="preserve">   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all_continuous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add_overall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add_p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0" w:name="tbl-chol-by-ch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Cholesterol summary statistics by CHD status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Overall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No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2,897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Yes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257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p-value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Cholesterol (mg/dL)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226.4 (43.4)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224.3 (42.2)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250.1 (49.4)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Unknown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Systolic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128.6 (15.1)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128.0 (14.7)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135.4 (17.5)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BMI (kg/m²)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24.5 (2.6)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24.5 (2.6)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25.1 (2.6)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Mean (SD)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  <w:r>
                    <w:rPr>
                      <w:rFonts w:ascii="Calibri" w:hAnsi="Calibri"/>
                      <w:sz w:val="20"/>
                    </w:rPr>
                    <w:t xml:space="preserve">Wilcoxon rank sum test</w:t>
                  </w:r>
                </w:p>
              </w:tc>
            </w:tr>
          </w:tbl>
          <w:bookmarkEnd w:id="80"/>
        </w:tc>
      </w:tr>
    </w:tbl>
    <w:bookmarkEnd w:id="81"/>
    <w:bookmarkEnd w:id="82"/>
    <w:bookmarkStart w:id="87" w:name="X31812d815c452e84469b5b8454782f0eb0952ca"/>
    <w:p>
      <w:pPr>
        <w:pStyle w:val="Heading2"/>
      </w:pPr>
      <w:r>
        <w:t xml:space="preserve">4.3 Two categorical variables: contingency tables</w:t>
      </w:r>
    </w:p>
    <w:bookmarkStart w:id="86" w:name="cross-tabulation"/>
    <w:p>
      <w:pPr>
        <w:pStyle w:val="Heading3"/>
      </w:pPr>
      <w:r>
        <w:t xml:space="preserve">4.3.1 Cross-tabulation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contingency table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cross-tabulation</w:t>
      </w:r>
      <w:r>
        <w:t xml:space="preserve">) displays the joint frequency</w:t>
      </w:r>
      <w:r>
        <w:t xml:space="preserve"> </w:t>
      </w:r>
      <w:r>
        <w:t xml:space="preserve">distribution of two categorical variables.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3" w:name="tbl-cross-smoke-ch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Cross-tabulation of smoking status and CHD event in WCGS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table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Smoking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smoke, </w:t>
            </w:r>
            <w:r>
              <w:rPr>
                <w:rStyle w:val="AttributeTok"/>
              </w:rPr>
              <w:t xml:space="preserve">CHD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chd69)</w:t>
            </w:r>
            <w:r>
              <w:br/>
            </w:r>
            <w:r>
              <w:rPr>
                <w:rStyle w:val="CommentTok"/>
              </w:rPr>
              <w:t xml:space="preserve">#&gt;        CHD</w:t>
            </w:r>
            <w:r>
              <w:br/>
            </w:r>
            <w:r>
              <w:rPr>
                <w:rStyle w:val="CommentTok"/>
              </w:rPr>
              <w:t xml:space="preserve">#&gt; Smoking   No  Yes</w:t>
            </w:r>
            <w:r>
              <w:br/>
            </w:r>
            <w:r>
              <w:rPr>
                <w:rStyle w:val="CommentTok"/>
              </w:rPr>
              <w:t xml:space="preserve">#&gt;     No  1554   98</w:t>
            </w:r>
            <w:r>
              <w:br/>
            </w:r>
            <w:r>
              <w:rPr>
                <w:rStyle w:val="CommentTok"/>
              </w:rPr>
              <w:t xml:space="preserve">#&gt;     Yes 1343  159</w:t>
            </w:r>
          </w:p>
          <w:bookmarkEnd w:id="83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can also compute row proportions to examine the</w:t>
      </w:r>
      <w:r>
        <w:t xml:space="preserve"> </w:t>
      </w:r>
      <w:r>
        <w:t xml:space="preserve">conditional distribution of CHD given smoking status: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4" w:name="tbl-cross-smoke-chd-prop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prop.table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table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Smoking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smoke, </w:t>
            </w:r>
            <w:r>
              <w:rPr>
                <w:rStyle w:val="AttributeTok"/>
              </w:rPr>
              <w:t xml:space="preserve">CHD =</w:t>
            </w:r>
            <w:r>
              <w:rPr>
                <w:rStyle w:val="NormalTok"/>
              </w:rPr>
              <w:t xml:space="preserve"> wcgs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chd69), </w:t>
            </w:r>
            <w:r>
              <w:rPr>
                <w:rStyle w:val="AttributeTok"/>
              </w:rPr>
              <w:t xml:space="preserve">margin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CHD</w:t>
            </w:r>
            <w:r>
              <w:br/>
            </w:r>
            <w:r>
              <w:rPr>
                <w:rStyle w:val="CommentTok"/>
              </w:rPr>
              <w:t xml:space="preserve">#&gt; Smoking       No      Yes</w:t>
            </w:r>
            <w:r>
              <w:br/>
            </w:r>
            <w:r>
              <w:rPr>
                <w:rStyle w:val="CommentTok"/>
              </w:rPr>
              <w:t xml:space="preserve">#&gt;     No  0.940678 0.059322</w:t>
            </w:r>
            <w:r>
              <w:br/>
            </w:r>
            <w:r>
              <w:rPr>
                <w:rStyle w:val="CommentTok"/>
              </w:rPr>
              <w:t xml:space="preserve">#&gt;     Yes 0.894141 0.105859</w:t>
            </w:r>
          </w:p>
          <w:bookmarkEnd w:id="84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Using</w:t>
      </w:r>
      <w:r>
        <w:t xml:space="preserve"> </w:t>
      </w:r>
      <w:r>
        <w:rPr>
          <w:rStyle w:val="VerbatimChar"/>
        </w:rPr>
        <w:t xml:space="preserve">gtsummary</w:t>
      </w:r>
      <w:r>
        <w:t xml:space="preserve"> </w:t>
      </w:r>
      <w:r>
        <w:t xml:space="preserve">for a formatted table:</w: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(smoke, chd69)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chd69)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add_overall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add_p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5" w:name="tbl-gtsummary-smoke-ch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6: Smoking status and CHD event in WCGS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Overall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No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2,897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Yes</w:t>
                  </w:r>
                  <w:r>
                    <w:rPr>
                      <w:rFonts w:ascii="Calibri" w:hAnsi="Calibri"/>
                      <w:sz w:val="20"/>
                    </w:rPr>
                    <w:t xml:space="preserve"/>
                  </w:r>
                  <w:r xmlns:w="http://schemas.openxmlformats.org/wordprocessingml/2006/main"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 = 257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p-value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Current smoker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1,502 (48%)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1,343 (46%)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159 (62%)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&lt;0.001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n (%)</w:t>
                  </w:r>
                </w:p>
              </w:tc>
            </w:tr>
            <w:tr>
              <w:trPr>
                <w:cantSplit/>
              </w:trPr>
              <w:tc>
                <w:tcPr>
                  <w:gridSpan w:val="5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2</w:t>
                  </w:r>
                  <w:r>
                    <w:rPr>
                      <w:rFonts w:ascii="Calibri" w:hAnsi="Calibri"/>
                      <w:sz w:val="20"/>
                    </w:rPr>
                    <w:t xml:space="preserve">Pearson's Chi-squared test</w:t>
                  </w:r>
                </w:p>
              </w:tc>
            </w:tr>
          </w:tbl>
          <w:bookmarkEnd w:id="85"/>
        </w:tc>
      </w:tr>
    </w:tbl>
    <w:bookmarkEnd w:id="86"/>
    <w:bookmarkEnd w:id="87"/>
    <w:bookmarkEnd w:id="88"/>
    <w:bookmarkStart w:id="93" w:name="data-transformations"/>
    <w:p>
      <w:pPr>
        <w:pStyle w:val="Heading1"/>
      </w:pPr>
      <w:r>
        <w:t xml:space="preserve">5. Data transformations</w:t>
      </w:r>
    </w:p>
    <w:p>
      <w:pPr>
        <w:pStyle w:val="FirstParagraph"/>
      </w:pPr>
      <w:r>
        <w:t xml:space="preserve">When a continuous variable has a</w:t>
      </w:r>
      <w:r>
        <w:t xml:space="preserve"> </w:t>
      </w:r>
      <w:r>
        <w:rPr>
          <w:b/>
          <w:bCs/>
        </w:rPr>
        <w:t xml:space="preserve">right-skewed</w:t>
      </w:r>
      <w:r>
        <w:t xml:space="preserve"> </w:t>
      </w:r>
      <w:r>
        <w:t xml:space="preserve">distribution</w:t>
      </w:r>
      <w:r>
        <w:t xml:space="preserve"> </w:t>
      </w:r>
      <w:r>
        <w:t xml:space="preserve">(long tail to the right),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logarithmic transformation</w:t>
      </w:r>
      <w:r>
        <w:t xml:space="preserve"> </w:t>
      </w:r>
      <w:r>
        <w:t xml:space="preserve">often makes the distribution</w:t>
      </w:r>
      <w:r>
        <w:t xml:space="preserve"> </w:t>
      </w:r>
      <w:r>
        <w:t xml:space="preserve">more approximately normal.</w:t>
      </w:r>
      <w:r>
        <w:t xml:space="preserve"> </w:t>
      </w:r>
      <w:r>
        <w:t xml:space="preserve">Log-transformed variables also have a natural multiplicative interpretation:</w:t>
      </w:r>
      <w:r>
        <w:t xml:space="preserve"> </w:t>
      </w:r>
      <w:r>
        <w:t xml:space="preserve">a one-unit increase in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t>x</m:t>
        </m:r>
        <m:r>
          <m:rPr>
            <m:sty m:val="p"/>
          </m:rPr>
          <m:t>)</m:t>
        </m:r>
      </m:oMath>
      <w:r>
        <w:t xml:space="preserve"> </w:t>
      </w:r>
      <w:r>
        <w:t xml:space="preserve">corresponds to multiplying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e</m:t>
        </m:r>
        <m:r>
          <m:rPr>
            <m:sty m:val="p"/>
          </m:rPr>
          <m:t>≈</m:t>
        </m:r>
        <m:r>
          <m:t>2.72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WCGS dataset already contains the log-transformed versions of some variables: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lnsbp</w:t>
      </w:r>
      <w:r>
        <w:t xml:space="preserve">: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rPr>
            <m:nor/>
            <m:sty m:val="p"/>
          </m:rPr>
          <m:t>SBP</m:t>
        </m:r>
        <m:r>
          <m:rPr>
            <m:sty m:val="p"/>
          </m:rPr>
          <m:t>)</m:t>
        </m:r>
      </m:oMath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lnwght</w:t>
      </w:r>
      <w:r>
        <w:t xml:space="preserve">:</w:t>
      </w:r>
      <w:r>
        <w:t xml:space="preserve"> </w:t>
      </w:r>
      <m:oMath>
        <m:r>
          <m:rPr>
            <m:sty m:val="p"/>
          </m:rPr>
          <m:t>log</m:t>
        </m:r>
        <m:r>
          <m:rPr>
            <m:sty m:val="p"/>
          </m:rPr>
          <m:t>(</m:t>
        </m:r>
        <m:r>
          <m:rPr>
            <m:nor/>
            <m:sty m:val="p"/>
          </m:rPr>
          <m:t>weight</m:t>
        </m:r>
        <m:r>
          <m:rPr>
            <m:sty m:val="p"/>
          </m:rPr>
          <m:t>)</m:t>
        </m:r>
      </m:oMath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sbp)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"Raw scale"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lnsbp)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"coral"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 scale"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gridExtra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grid.arrange</w:t>
      </w:r>
      <w:r>
        <w:rPr>
          <w:rStyle w:val="NormalTok"/>
        </w:rPr>
        <w:t xml:space="preserve">(p1, p2,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2" w:name="fig-hist-sbp-log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90" name="Picture"/>
                  <a:graphic>
                    <a:graphicData uri="http://schemas.openxmlformats.org/drawingml/2006/picture">
                      <pic:pic>
                        <pic:nvPicPr>
                          <pic:cNvPr descr="exploratory-descriptive_files/figure-docx/fig-hist-sbp-log-1.png" id="9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SBP distribution: raw and log scale (WCGS)</w:t>
            </w:r>
          </w:p>
          <w:bookmarkEnd w:id="92"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log-transformed SBP is slightly more symmetric than the raw SBP.</w:t>
      </w:r>
      <w:r>
        <w:t xml:space="preserve"> </w:t>
      </w:r>
      <w:r>
        <w:t xml:space="preserve">Whether to use the transformation in a regression model depends on</w:t>
      </w:r>
      <w:r>
        <w:t xml:space="preserve"> </w:t>
      </w:r>
      <w:r>
        <w:t xml:space="preserve">assumptions of that model and the scientific question.</w:t>
      </w:r>
    </w:p>
    <w:bookmarkEnd w:id="93"/>
    <w:bookmarkStart w:id="95" w:name="putting-it-all-together-an-eda-workflow"/>
    <w:p>
      <w:pPr>
        <w:pStyle w:val="Heading1"/>
      </w:pPr>
      <w:r>
        <w:t xml:space="preserve">6. Putting it all together: an EDA workflow</w:t>
      </w:r>
    </w:p>
    <w:p>
      <w:pPr>
        <w:pStyle w:val="FirstParagraph"/>
      </w:pPr>
      <w:r>
        <w:t xml:space="preserve">A typical exploratory data analysis workflow might proceed as follows: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Understand the dataset</w:t>
      </w:r>
      <w:r>
        <w:t xml:space="preserve">: number of observations, variables, and their types.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Examine each variable individually</w:t>
      </w:r>
      <w:r>
        <w:t xml:space="preserve">:</w:t>
      </w:r>
    </w:p>
    <w:p>
      <w:pPr>
        <w:pStyle w:val="Compact"/>
        <w:numPr>
          <w:ilvl w:val="1"/>
          <w:numId w:val="1010"/>
        </w:numPr>
      </w:pPr>
      <w:r>
        <w:t xml:space="preserve">Continuous: histogram, box plot, mean, SD, median, IQR.</w:t>
      </w:r>
    </w:p>
    <w:p>
      <w:pPr>
        <w:pStyle w:val="Compact"/>
        <w:numPr>
          <w:ilvl w:val="1"/>
          <w:numId w:val="1010"/>
        </w:numPr>
      </w:pPr>
      <w:r>
        <w:t xml:space="preserve">Categorical: bar chart, frequency table.</w:t>
      </w:r>
    </w:p>
    <w:p>
      <w:pPr>
        <w:pStyle w:val="Compact"/>
        <w:numPr>
          <w:ilvl w:val="1"/>
          <w:numId w:val="1010"/>
        </w:numPr>
      </w:pPr>
      <w:r>
        <w:t xml:space="preserve">Note missing values, unusual values, and outliers.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Examine relationships between variables</w:t>
      </w:r>
      <w:r>
        <w:t xml:space="preserve">:</w:t>
      </w:r>
    </w:p>
    <w:p>
      <w:pPr>
        <w:pStyle w:val="Compact"/>
        <w:numPr>
          <w:ilvl w:val="1"/>
          <w:numId w:val="1011"/>
        </w:numPr>
      </w:pPr>
      <w:r>
        <w:t xml:space="preserve">Two continuous variables: scatter plot, correlation.</w:t>
      </w:r>
    </w:p>
    <w:p>
      <w:pPr>
        <w:pStyle w:val="Compact"/>
        <w:numPr>
          <w:ilvl w:val="1"/>
          <w:numId w:val="1011"/>
        </w:numPr>
      </w:pPr>
      <w:r>
        <w:t xml:space="preserve">Continuous by category: side-by-side box plots, group means.</w:t>
      </w:r>
    </w:p>
    <w:p>
      <w:pPr>
        <w:pStyle w:val="Compact"/>
        <w:numPr>
          <w:ilvl w:val="1"/>
          <w:numId w:val="1011"/>
        </w:numPr>
      </w:pPr>
      <w:r>
        <w:t xml:space="preserve">Two categorical variables: contingency table.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Consider transformations</w:t>
      </w:r>
      <w:r>
        <w:t xml:space="preserve"> </w:t>
      </w:r>
      <w:r>
        <w:t xml:space="preserve">for skewed continuous variables.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Summarize findings</w:t>
      </w:r>
      <w:r>
        <w:t xml:space="preserve"> </w:t>
      </w:r>
      <w:r>
        <w:t xml:space="preserve">to guide model-building decisions.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NormalTok"/>
        </w:rPr>
        <w:t xml:space="preserve">wcgs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dplyr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age, chol, sbp, dbp, bmi, weight, ncigs,</w:t>
      </w:r>
      <w:r>
        <w:br/>
      </w:r>
      <w:r>
        <w:rPr>
          <w:rStyle w:val="NormalTok"/>
        </w:rPr>
        <w:t xml:space="preserve">    chd69, smoke, dibpat, behpat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gtsummary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tbl_summary</w:t>
      </w:r>
      <w:r>
        <w:rPr>
          <w:rStyle w:val="NormalTok"/>
        </w:rPr>
        <w:t xml:space="preserve">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94" w:name="tbl-wcgs-al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7: Summary of selected WCGS variables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Characteristic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b w:val="true"/>
                      <w:rFonts w:ascii="Calibri" w:hAnsi="Calibri"/>
                      <w:sz w:val="20"/>
                    </w:rPr>
                    <w:t xml:space="preserve">N = 3,154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Age (years)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45.0 (42.0, 50.0)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Cholesterol (mg/dL)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223 (197, 253)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Unknown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Systolic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126 (120, 136)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Diastolic BP (mmHg)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80 (76, 86)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BMI (kg/m²)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24.39 (22.96, 25.84)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Weight (lbs)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170 (155, 182)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Cigarettes per day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0 (0, 20)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CHD event by 1969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257 (8.1%)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Current smoker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1,502 (48%)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(A/B)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B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1,565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Type 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1,589 (50%)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Behavioral pattern (A1/A2/B3/B4)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264 (8.4%)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A2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1,325 (42%)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1,216 (39%)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    B4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center"/>
                  </w:pPr>
                  <w:r>
                    <w:rPr>
                      <w:rFonts w:ascii="Calibri" w:hAnsi="Calibri"/>
                      <w:sz w:val="20"/>
                    </w:rPr>
                    <w:t xml:space="default">349 (11%)</w:t>
                  </w:r>
                </w:p>
              </w:tc>
            </w:tr>
            <w:tr>
              <w:trPr>
                <w:cantSplit/>
              </w:trPr>
              <w:tc>
                <w:tcPr>
                  <w:gridSpan w:val="2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preserve">Median (Q1, Q3); n (%)</w:t>
                  </w:r>
                </w:p>
              </w:tc>
            </w:tr>
          </w:tbl>
          <w:bookmarkEnd w:id="94"/>
        </w:tc>
      </w:tr>
    </w:tbl>
    <w:bookmarkEnd w:id="95"/>
    <w:bookmarkStart w:id="101" w:name="references"/>
    <w:p>
      <w:pPr>
        <w:pStyle w:val="Heading1"/>
      </w:pPr>
      <w:r>
        <w:t xml:space="preserve">References</w:t>
      </w:r>
    </w:p>
    <w:bookmarkStart w:id="100" w:name="refs"/>
    <w:bookmarkStart w:id="97" w:name="ref-rosenman1975coronary"/>
    <w:p>
      <w:pPr>
        <w:pStyle w:val="Bibliography"/>
      </w:pPr>
      <w:r>
        <w:t xml:space="preserve">Rosenman, Ray H, Richard J Brand, C David Jenkins, Meyer Friedman, Reuben Straus, and Moses Wurm. 1975.</w:t>
      </w:r>
      <w:r>
        <w:t xml:space="preserve"> </w:t>
      </w:r>
      <w:r>
        <w:t xml:space="preserve">“Coronary Heart Disease in the</w:t>
      </w:r>
      <w:r>
        <w:t xml:space="preserve"> </w:t>
      </w:r>
      <w:r>
        <w:t xml:space="preserve">Western Collaborative Group Study</w:t>
      </w:r>
      <w:r>
        <w:t xml:space="preserve">: Final Follow-up Experience of 8 1/2 Years.”</w:t>
      </w:r>
      <w:r>
        <w:t xml:space="preserve"> </w:t>
      </w:r>
      <w:r>
        <w:rPr>
          <w:i/>
          <w:iCs/>
        </w:rPr>
        <w:t xml:space="preserve">JAMA</w:t>
      </w:r>
      <w:r>
        <w:t xml:space="preserve"> </w:t>
      </w:r>
      <w:r>
        <w:t xml:space="preserve">233 (8): 872–77.</w:t>
      </w:r>
      <w:r>
        <w:t xml:space="preserve"> </w:t>
      </w:r>
      <w:hyperlink r:id="rId96">
        <w:r>
          <w:rPr>
            <w:rStyle w:val="Hyperlink"/>
          </w:rPr>
          <w:t xml:space="preserve">https://doi.org/10.1001/jama.1975.03260080034016</w:t>
        </w:r>
      </w:hyperlink>
      <w:r>
        <w:t xml:space="preserve">.</w:t>
      </w:r>
    </w:p>
    <w:bookmarkEnd w:id="97"/>
    <w:bookmarkStart w:id="99" w:name="ref-vittinghoff2e"/>
    <w:p>
      <w:pPr>
        <w:pStyle w:val="Bibliography"/>
      </w:pPr>
      <w:r>
        <w:t xml:space="preserve">Vittinghoff, Eric, David V Glidden, Stephen C Shiboski, and Charles E McCulloch. 2012.</w:t>
      </w:r>
      <w:r>
        <w:t xml:space="preserve"> </w:t>
      </w:r>
      <w:r>
        <w:rPr>
          <w:i/>
          <w:iCs/>
        </w:rPr>
        <w:t xml:space="preserve">Regression Methods in Biostatistics: Linear, Logistic, Survival, and Repeated Measures Models</w:t>
      </w:r>
      <w:r>
        <w:t xml:space="preserve">. 2nd ed. Springer.</w:t>
      </w:r>
      <w:r>
        <w:t xml:space="preserve"> </w:t>
      </w:r>
      <w:hyperlink r:id="rId98">
        <w:r>
          <w:rPr>
            <w:rStyle w:val="Hyperlink"/>
          </w:rPr>
          <w:t xml:space="preserve">https://doi.org/10.1007/978-1-4614-1353-0</w:t>
        </w:r>
      </w:hyperlink>
      <w:r>
        <w:t xml:space="preserve">.</w:t>
      </w:r>
    </w:p>
    <w:bookmarkEnd w:id="99"/>
    <w:bookmarkEnd w:id="100"/>
    <w:bookmarkEnd w:id="10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66" Target="media/rId66.png" /><Relationship Type="http://schemas.openxmlformats.org/officeDocument/2006/relationships/image" Id="rId9" Target="media/rId9.png" /><Relationship Type="http://schemas.openxmlformats.org/officeDocument/2006/relationships/image" Id="rId49" Target="media/rId49.png" /><Relationship Type="http://schemas.openxmlformats.org/officeDocument/2006/relationships/image" Id="rId44" Target="media/rId44.png" /><Relationship Type="http://schemas.openxmlformats.org/officeDocument/2006/relationships/image" Id="rId75" Target="media/rId75.png" /><Relationship Type="http://schemas.openxmlformats.org/officeDocument/2006/relationships/image" Id="rId71" Target="media/rId71.png" /><Relationship Type="http://schemas.openxmlformats.org/officeDocument/2006/relationships/image" Id="rId39" Target="media/rId39.png" /><Relationship Type="http://schemas.openxmlformats.org/officeDocument/2006/relationships/image" Id="rId34" Target="media/rId34.png" /><Relationship Type="http://schemas.openxmlformats.org/officeDocument/2006/relationships/image" Id="rId89" Target="media/rId89.png" /><Relationship Type="http://schemas.openxmlformats.org/officeDocument/2006/relationships/image" Id="rId54" Target="media/rId54.png" /><Relationship Type="http://schemas.openxmlformats.org/officeDocument/2006/relationships/image" Id="rId60" Target="media/rId60.png" /><Relationship Type="http://schemas.openxmlformats.org/officeDocument/2006/relationships/hyperlink" Id="rId96" Target="https://doi.org/10.1001/jama.1975.03260080034016" TargetMode="External" /><Relationship Type="http://schemas.openxmlformats.org/officeDocument/2006/relationships/hyperlink" Id="rId98" Target="https://doi.org/10.1007/978-1-4614-1353-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6" Target="https://doi.org/10.1001/jama.1975.03260080034016" TargetMode="External" /><Relationship Type="http://schemas.openxmlformats.org/officeDocument/2006/relationships/hyperlink" Id="rId98" Target="https://doi.org/10.1007/978-1-4614-1353-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Exploratory and Descriptive Methods</dc:title>
  <dc:creator/>
  <cp:keywords/>
  <dcterms:created xsi:type="dcterms:W3CDTF">2026-06-20T09:29:28Z</dcterms:created>
  <dcterms:modified xsi:type="dcterms:W3CDTF">2026-06-20T09:29:28Z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