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Classification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10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Classification is a core problem in statistics and machine learning:</w:t>
      </w:r>
      <w:r>
        <w:t xml:space="preserve"> </w:t>
      </w:r>
      <w:r>
        <w:t xml:space="preserve">we seek to assign individuals or observations to one of several discrete categories</w:t>
      </w:r>
      <w:r>
        <w:t xml:space="preserve"> </w:t>
      </w:r>
      <w:r>
        <w:t xml:space="preserve">based on available data.</w:t>
      </w:r>
      <w:r>
        <w:t xml:space="preserve"> </w:t>
      </w:r>
      <w:r>
        <w:t xml:space="preserve">In medicine and epidemiology,</w:t>
      </w:r>
      <w:r>
        <w:t xml:space="preserve"> </w:t>
      </w:r>
      <w:r>
        <w:t xml:space="preserve">classification problems arise constantly—for example,</w:t>
      </w:r>
      <w:r>
        <w:t xml:space="preserve"> </w:t>
      </w:r>
      <w:r>
        <w:t xml:space="preserve">determining whether a patient has a disease based on test results,</w:t>
      </w:r>
      <w:r>
        <w:t xml:space="preserve"> </w:t>
      </w:r>
      <w:r>
        <w:t xml:space="preserve">biomarkers, or clinical signs.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def-classification"/>
          <w:p>
            <w:pPr>
              <w:pStyle w:val="BodyText"/>
            </w:pPr>
            <w:r>
              <w:rPr>
                <w:b/>
                <w:bCs/>
              </w:rPr>
              <w:t xml:space="preserve">Definition 1 (Classification)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classification problem</w:t>
            </w:r>
            <w:r>
              <w:t xml:space="preserve"> </w:t>
            </w:r>
            <w:r>
              <w:t xml:space="preserve">is a statistical problem in which</w:t>
            </w:r>
            <w:r>
              <w:t xml:space="preserve"> </w:t>
            </w:r>
            <w:r>
              <w:t xml:space="preserve">we seek to assign observations to one of two or more discrete categories (classes)</w:t>
            </w:r>
            <w:r>
              <w:t xml:space="preserve"> </w:t>
            </w:r>
            <w:r>
              <w:t xml:space="preserve">based on observed features or predictors.</w:t>
            </w:r>
            <w:r>
              <w:t xml:space="preserve"> </w:t>
            </w:r>
            <w:r>
              <w:t xml:space="preserve">In the binary case, we assign each observation to one of two classes,</w:t>
            </w:r>
            <w:r>
              <w:t xml:space="preserve"> </w:t>
            </w:r>
            <w:r>
              <w:t xml:space="preserve">often labeled as</w:t>
            </w:r>
            <w:r>
              <w:t xml:space="preserve"> </w:t>
            </w:r>
            <w:r>
              <w:t xml:space="preserve">“positive”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“negative”</w:t>
            </w:r>
            <w:r>
              <w:t xml:space="preserve">,</w:t>
            </w:r>
            <w:r>
              <w:t xml:space="preserve"> </w:t>
            </w:r>
            <w:r>
              <w:t xml:space="preserve">“diseased”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“healthy”</w:t>
            </w:r>
            <w:r>
              <w:t xml:space="preserve">, etc.</w:t>
            </w:r>
          </w:p>
          <w:bookmarkEnd w:id="9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central challenge in medical classification is interpreting test results correctly.</w:t>
      </w:r>
      <w:r>
        <w:t xml:space="preserve"> </w:t>
      </w:r>
      <w:r>
        <w:t xml:space="preserve">A test may appear highly accurate in isolation,</w:t>
      </w:r>
      <w:r>
        <w:t xml:space="preserve"> </w:t>
      </w:r>
      <w:r>
        <w:t xml:space="preserve">yet its predictive value for an individual patient depends heavily on the</w:t>
      </w:r>
      <w:r>
        <w:t xml:space="preserve"> </w:t>
      </w:r>
      <w:r>
        <w:t xml:space="preserve">prevalence of the condition in the population being tested.</w:t>
      </w:r>
      <w:r>
        <w:t xml:space="preserve"> </w:t>
      </w:r>
      <w:r>
        <w:t xml:space="preserve">Understanding this interplay requires tools from probability theory—in particular,</w:t>
      </w:r>
      <w:r>
        <w:t xml:space="preserve"> </w:t>
      </w:r>
      <w:r>
        <w:t xml:space="preserve">Bayes’ theorem and the law of total probability.</w:t>
      </w:r>
    </w:p>
    <w:p>
      <w:pPr>
        <w:pStyle w:val="BodyText"/>
      </w:pPr>
      <w:r>
        <w:t xml:space="preserve">In the sections below, we define the key performance measures of a diagnostic test</w:t>
      </w:r>
      <w:r>
        <w:t xml:space="preserve"> </w:t>
      </w:r>
      <w:r>
        <w:t xml:space="preserve">and work through a concrete example using COVID-19 testing.</w:t>
      </w:r>
    </w:p>
    <w:bookmarkEnd w:id="10"/>
    <w:bookmarkStart w:id="15" w:name="diagnostic-test-characteristics"/>
    <w:p>
      <w:pPr>
        <w:pStyle w:val="Heading2"/>
      </w:pPr>
      <w:r>
        <w:t xml:space="preserve">1 Diagnostic test characteristics</w:t>
      </w:r>
    </w:p>
    <w:p>
      <w:pPr>
        <w:pStyle w:val="FirstParagraph"/>
      </w:pPr>
      <w:r>
        <w:t xml:space="preserve">When evaluating a diagnostic test, we consider several key performance measures: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1" w:name="def-sensitivity"/>
          <w:p>
            <w:pPr>
              <w:pStyle w:val="BodyText"/>
            </w:pPr>
            <w:r>
              <w:rPr>
                <w:b/>
                <w:bCs/>
              </w:rPr>
              <w:t xml:space="preserve">Definition 2 (Sensitivity)</w:t>
            </w:r>
            <w:r>
              <w:t xml:space="preserve"> </w:t>
            </w:r>
            <w:r>
              <w:t xml:space="preserve">The probability that the test is positive given that the person has the disease, denoted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positive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disease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bookmarkEnd w:id="11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" w:name="def-specificity"/>
          <w:p>
            <w:pPr>
              <w:pStyle w:val="BodyText"/>
            </w:pPr>
            <w:r>
              <w:rPr>
                <w:b/>
                <w:bCs/>
              </w:rPr>
              <w:t xml:space="preserve">Definition 3 (Specificity)</w:t>
            </w:r>
            <w:r>
              <w:t xml:space="preserve"> </w:t>
            </w:r>
            <w:r>
              <w:t xml:space="preserve">The probability that the test is negative given that the person does not have the disease, denoted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negative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no disease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bookmarkEnd w:id="1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" w:name="def-ppv"/>
          <w:p>
            <w:pPr>
              <w:pStyle w:val="BodyText"/>
            </w:pPr>
            <w:r>
              <w:rPr>
                <w:b/>
                <w:bCs/>
              </w:rPr>
              <w:t xml:space="preserve">Definition 4 (Positive Predictive Value (PPV))</w:t>
            </w:r>
            <w:r>
              <w:t xml:space="preserve"> </w:t>
            </w:r>
            <w:r>
              <w:t xml:space="preserve">The probability that a person has the disease given that their test is positive, denoted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disease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positive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bookmarkEnd w:id="13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4" w:name="def-npv"/>
          <w:p>
            <w:pPr>
              <w:pStyle w:val="BodyText"/>
            </w:pPr>
            <w:r>
              <w:rPr>
                <w:b/>
                <w:bCs/>
              </w:rPr>
              <w:t xml:space="preserve">Definition 5 (Negative Predictive Value (NPV))</w:t>
            </w:r>
            <w:r>
              <w:t xml:space="preserve"> </w:t>
            </w:r>
            <w:r>
              <w:t xml:space="preserve">The probability that a person does not have the disease given that their test is negative, denoted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no disease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negative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bookmarkEnd w:id="14"/>
        </w:tc>
      </w:tr>
    </w:tbl>
    <w:p>
      <w:r>
        <w:pict>
          <v:rect style="width:0;height:1.5pt" o:hralign="center" o:hrstd="t" o:hr="t"/>
        </w:pict>
      </w:r>
    </w:p>
    <w:bookmarkEnd w:id="15"/>
    <w:bookmarkStart w:id="16" w:name="example-covid-19-testing"/>
    <w:p>
      <w:pPr>
        <w:pStyle w:val="Heading2"/>
      </w:pPr>
      <w:r>
        <w:t xml:space="preserve">2 Example: COVID-19 testing</w:t>
      </w:r>
    </w:p>
    <w:p>
      <w:pPr>
        <w:pStyle w:val="FirstParagraph"/>
      </w:pPr>
      <w:r>
        <w:t xml:space="preserve">Suppose we have a COVID-19 test with the following characteristics: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99% sensitive</w:t>
      </w:r>
      <w:r>
        <w:t xml:space="preserve">: If a person has COVID-19, the test will be positive 99% of the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99% specific</w:t>
      </w:r>
      <w:r>
        <w:t xml:space="preserve">: If a person does not have COVID-19, the test will be negative 99% of the time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Let’s define our events:</w:t>
      </w:r>
    </w:p>
    <w:p>
      <w:pPr>
        <w:pStyle w:val="Compact"/>
        <w:numPr>
          <w:ilvl w:val="0"/>
          <w:numId w:val="1002"/>
        </w:numPr>
      </w:pPr>
      <w:r>
        <w:t xml:space="preserve">Let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denote the event</w:t>
      </w:r>
      <w:r>
        <w:t xml:space="preserve"> </w:t>
      </w:r>
      <w:r>
        <w:t xml:space="preserve">“person has COVID-19”</w:t>
      </w:r>
    </w:p>
    <w:p>
      <w:pPr>
        <w:pStyle w:val="Compact"/>
        <w:numPr>
          <w:ilvl w:val="0"/>
          <w:numId w:val="1002"/>
        </w:numPr>
      </w:pPr>
      <w:r>
        <w:t xml:space="preserve">Let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denote the event</w:t>
      </w:r>
      <w:r>
        <w:t xml:space="preserve"> </w:t>
      </w:r>
      <w:r>
        <w:t xml:space="preserve">“test is positive”</w:t>
      </w:r>
    </w:p>
    <w:p>
      <w:pPr>
        <w:pStyle w:val="FirstParagraph"/>
      </w:pPr>
      <w:r>
        <w:t xml:space="preserve">Then our test characteristics can be written as: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0.99</m:t>
          </m:r>
          <m:r>
            <m:t> </m:t>
          </m:r>
          <m:r>
            <m:rPr>
              <m:nor/>
              <m:sty m:val="p"/>
            </m:rPr>
            <m:t>(sensitivity)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0.99</m:t>
          </m:r>
          <m:r>
            <m:t> </m:t>
          </m:r>
          <m:r>
            <m:rPr>
              <m:nor/>
              <m:sty m:val="p"/>
            </m:rPr>
            <m:t>(specificity)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Note that if specificity is 0.99, then the false positive rate 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r>
            <m:t>0.99</m:t>
          </m:r>
          <m:r>
            <m:rPr>
              <m:sty m:val="p"/>
            </m:rPr>
            <m:t>=</m:t>
          </m:r>
          <m:r>
            <m:t>0.01</m:t>
          </m:r>
        </m:oMath>
      </m:oMathPara>
    </w:p>
    <w:p>
      <w:pPr>
        <w:pStyle w:val="FirstParagraph"/>
      </w:pPr>
      <w:r>
        <w:t xml:space="preserve">Suppose the</w:t>
      </w:r>
      <w:r>
        <w:t xml:space="preserve"> </w:t>
      </w:r>
      <w:r>
        <w:rPr>
          <w:b/>
          <w:bCs/>
        </w:rPr>
        <w:t xml:space="preserve">prevalence</w:t>
      </w:r>
      <w:r>
        <w:t xml:space="preserve"> </w:t>
      </w:r>
      <w:r>
        <w:t xml:space="preserve">of COVID-19 in the population is 7%: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0.07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0.93</m:t>
          </m:r>
        </m:oMath>
      </m:oMathPara>
    </w:p>
    <w:p>
      <w:r>
        <w:pict>
          <v:rect style="width:0;height:1.5pt" o:hralign="center" o:hrstd="t" o:hr="t"/>
        </w:pict>
      </w:r>
    </w:p>
    <w:bookmarkEnd w:id="16"/>
    <w:bookmarkStart w:id="17" w:name="calculating-positive-predictive-value"/>
    <w:p>
      <w:pPr>
        <w:pStyle w:val="Heading2"/>
      </w:pPr>
      <w:r>
        <w:t xml:space="preserve">3 Calculating positive predictive value</w:t>
      </w:r>
    </w:p>
    <w:p>
      <w:pPr>
        <w:pStyle w:val="FirstParagraph"/>
      </w:pPr>
      <w:r>
        <w:t xml:space="preserve">The key question we want to answer is:</w:t>
      </w:r>
      <w:r>
        <w:t xml:space="preserve"> </w:t>
      </w:r>
      <w:r>
        <w:rPr>
          <w:b/>
          <w:bCs/>
        </w:rPr>
        <w:t xml:space="preserve">If someone tests positive, what is the probability they actually have COVID-19?</w:t>
      </w:r>
    </w:p>
    <w:p>
      <w:pPr>
        <w:pStyle w:val="BodyText"/>
      </w:pPr>
      <w:r>
        <w:t xml:space="preserve">This is the positive predictive value: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+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 </m:t>
          </m:r>
          <m:r>
            <m:rPr>
              <m:sty m:val="p"/>
            </m:rPr>
            <m:t>?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use</w:t>
      </w:r>
      <w:r>
        <w:t xml:space="preserve"> </w:t>
      </w:r>
      <w:r>
        <w:rPr>
          <w:b/>
          <w:bCs/>
        </w:rPr>
        <w:t xml:space="preserve">Bayes’ theorem</w:t>
      </w:r>
      <w:r>
        <w:t xml:space="preserve"> </w:t>
      </w:r>
      <w:r>
        <w:t xml:space="preserve">to calculate this: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+</m:t>
              </m:r>
            </m:e>
          </m:d>
          <m:r>
            <m:t>​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∣</m:t>
                  </m:r>
                  <m:r>
                    <m:t>D</m:t>
                  </m:r>
                </m:e>
              </m:d>
              <m:r>
                <m:t>​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D</m:t>
                  </m:r>
                </m:e>
              </m:d>
              <m:r>
                <m:t>​</m:t>
              </m:r>
            </m:num>
            <m:den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+</m:t>
                  </m:r>
                </m:e>
              </m:d>
              <m:r>
                <m:t>​</m:t>
              </m:r>
            </m:den>
          </m:f>
        </m:oMath>
      </m:oMathPara>
    </w:p>
    <w:p>
      <w:pPr>
        <w:pStyle w:val="FirstParagraph"/>
      </w:pPr>
      <w:r>
        <w:t xml:space="preserve">To find</w:t>
      </w:r>
      <w:r>
        <w:t xml:space="preserve"> </w:t>
      </w:r>
      <m:oMath>
        <m:r>
          <m:rPr>
            <m:sty m:val="p"/>
          </m:rPr>
          <m:t>P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+</m:t>
            </m:r>
          </m:e>
        </m:d>
        <m:r>
          <m:t>​</m:t>
        </m:r>
      </m:oMath>
      <w:r>
        <w:t xml:space="preserve">, we use the</w:t>
      </w:r>
      <w:r>
        <w:t xml:space="preserve"> </w:t>
      </w:r>
      <w:r>
        <w:rPr>
          <w:b/>
          <w:bCs/>
        </w:rPr>
        <w:t xml:space="preserve">law of total probability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⋅</m:t>
          </m:r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</m:e>
          </m:d>
          <m:r>
            <m:t>​</m:t>
          </m:r>
          <m:r>
            <m:rPr>
              <m:sty m:val="p"/>
            </m:rPr>
            <m:t>+</m:t>
          </m:r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⋅</m:t>
          </m:r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t>​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Now we can calculate each component:</w:t>
      </w:r>
    </w:p>
    <w:p>
      <w:pPr>
        <w:pStyle w:val="BodyText"/>
      </w:pPr>
      <w:r>
        <w:rPr>
          <w:b/>
          <w:bCs/>
        </w:rPr>
        <w:t xml:space="preserve">Probability of being positive with disease: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⋅</m:t>
          </m:r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0.99</m:t>
          </m:r>
          <m:r>
            <m:rPr>
              <m:sty m:val="p"/>
            </m:rPr>
            <m:t>×</m:t>
          </m:r>
          <m:r>
            <m:t>0.07</m:t>
          </m:r>
          <m:r>
            <m:rPr>
              <m:sty m:val="p"/>
            </m:rPr>
            <m:t>=</m:t>
          </m:r>
          <m:r>
            <m:t>0.0693</m:t>
          </m:r>
        </m:oMath>
      </m:oMathPara>
    </w:p>
    <w:p>
      <w:pPr>
        <w:pStyle w:val="FirstParagraph"/>
      </w:pPr>
      <w:r>
        <w:rPr>
          <w:b/>
          <w:bCs/>
        </w:rPr>
        <w:t xml:space="preserve">Probability of being positive without disease (false positive):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⋅</m:t>
          </m:r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0.01</m:t>
          </m:r>
          <m:r>
            <m:rPr>
              <m:sty m:val="p"/>
            </m:rPr>
            <m:t>×</m:t>
          </m:r>
          <m:r>
            <m:t>0.93</m:t>
          </m:r>
          <m:r>
            <m:rPr>
              <m:sty m:val="p"/>
            </m:rPr>
            <m:t>=</m:t>
          </m:r>
          <m:r>
            <m:t>0.0093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Total probability of positive test: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0.0693</m:t>
          </m:r>
          <m:r>
            <m:rPr>
              <m:sty m:val="p"/>
            </m:rPr>
            <m:t>+</m:t>
          </m:r>
          <m:r>
            <m:t>0.0093</m:t>
          </m:r>
          <m:r>
            <m:rPr>
              <m:sty m:val="p"/>
            </m:rPr>
            <m:t>=</m:t>
          </m:r>
          <m:r>
            <m:t>0.0786</m:t>
          </m:r>
        </m:oMath>
      </m:oMathPara>
    </w:p>
    <w:p>
      <w:pPr>
        <w:pStyle w:val="FirstParagraph"/>
      </w:pPr>
      <w:r>
        <w:rPr>
          <w:b/>
          <w:bCs/>
        </w:rPr>
        <w:t xml:space="preserve">Positive predictive value: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+</m:t>
              </m:r>
            </m:e>
          </m:d>
          <m:r>
            <m:t>​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0.0693</m:t>
              </m:r>
            </m:num>
            <m:den>
              <m:r>
                <m:t>0.0786</m:t>
              </m:r>
            </m:den>
          </m:f>
          <m:r>
            <m:rPr>
              <m:sty m:val="p"/>
            </m:rPr>
            <m:t>=</m:t>
          </m:r>
          <m:r>
            <m:t>0.88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Therefore, even with a highly accurate test (99% sensitive and 99% specific), only about 88% of people who test positive actually have COVID-19.</w:t>
      </w:r>
      <w:r>
        <w:t xml:space="preserve"> </w:t>
      </w:r>
      <w:r>
        <w:t xml:space="preserve">This is because the disease prevalence is relatively low (7%), so false positives make up a meaningful fraction of all positive tests.</w:t>
      </w:r>
    </w:p>
    <w:p>
      <w:pPr>
        <w:pStyle w:val="BodyText"/>
      </w:pPr>
      <w:r>
        <w:t xml:space="preserve">This counterintuitive result demonstrates the importance of considering disease prevalence when interpreting test results.</w:t>
      </w:r>
      <w:r>
        <w:t xml:space="preserve"> </w:t>
      </w:r>
      <w:r>
        <w:t xml:space="preserve">Even highly accurate tests can have relatively low positive predictive values when the disease is rare.</w:t>
      </w:r>
    </w:p>
    <w:p>
      <w:r>
        <w:pict>
          <v:rect style="width:0;height:1.5pt" o:hralign="center" o:hrstd="t" o:hr="t"/>
        </w:pict>
      </w:r>
    </w:p>
    <w:bookmarkEnd w:id="17"/>
    <w:bookmarkStart w:id="18" w:name="alternative-formulation"/>
    <w:p>
      <w:pPr>
        <w:pStyle w:val="Heading2"/>
      </w:pPr>
      <w:r>
        <w:t xml:space="preserve">4 Alternative formulation</w:t>
      </w:r>
    </w:p>
    <w:p>
      <w:pPr>
        <w:pStyle w:val="FirstParagraph"/>
      </w:pPr>
      <w:r>
        <w:t xml:space="preserve">We can rearrange Bayes’ theorem to express the positive predictive value in terms of the sensitivity, specificity, and disease prevalence: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D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sty m:val="p"/>
                    </m:rPr>
                    <m:t>+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D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  <m:r>
                    <m:t>​</m:t>
                  </m:r>
                </m:num>
                <m:den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</m:e>
                  </m:d>
                  <m:r>
                    <m:t>​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D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  <m:r>
                    <m:t>​</m:t>
                  </m:r>
                </m:num>
                <m:den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D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rPr>
                          <m:sty m:val="p"/>
                        </m:rPr>
                        <m:t>¬</m:t>
                      </m:r>
                      <m:r>
                        <m:t>D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¬</m:t>
                      </m:r>
                      <m:r>
                        <m:t>D</m:t>
                      </m:r>
                    </m:e>
                  </m:d>
                  <m:r>
                    <m:t>​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  <m:r>
                    <m:t>​</m:t>
                  </m:r>
                </m:num>
                <m:den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P</m:t>
                      </m:r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∣</m:t>
                          </m:r>
                          <m:r>
                            <m:rPr>
                              <m:sty m:val="p"/>
                            </m:rPr>
                            <m:t>¬</m:t>
                          </m:r>
                          <m:r>
                            <m:t>D</m:t>
                          </m:r>
                        </m:e>
                      </m:d>
                      <m:r>
                        <m:t>​</m:t>
                      </m:r>
                    </m:num>
                    <m:den>
                      <m:r>
                        <m:rPr>
                          <m:sty m:val="p"/>
                        </m:rPr>
                        <m:t>P</m:t>
                      </m:r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∣</m:t>
                          </m:r>
                          <m:r>
                            <m:t>D</m:t>
                          </m:r>
                        </m:e>
                      </m:d>
                      <m:r>
                        <m:t>​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P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¬</m:t>
                      </m:r>
                      <m:r>
                        <m:t>D</m:t>
                      </m:r>
                    </m:e>
                  </m:d>
                  <m:r>
                    <m:t>​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P</m:t>
                      </m:r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∣</m:t>
                          </m:r>
                          <m:r>
                            <m:rPr>
                              <m:sty m:val="p"/>
                            </m:rPr>
                            <m:t>¬</m:t>
                          </m:r>
                          <m:r>
                            <m:t>D</m:t>
                          </m:r>
                        </m:e>
                      </m:d>
                      <m:r>
                        <m:t>​</m:t>
                      </m:r>
                    </m:num>
                    <m:den>
                      <m:r>
                        <m:rPr>
                          <m:sty m:val="p"/>
                        </m:rPr>
                        <m:t>P</m:t>
                      </m:r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∣</m:t>
                          </m:r>
                          <m:r>
                            <m:t>D</m:t>
                          </m:r>
                        </m:e>
                      </m:d>
                      <m:r>
                        <m:t>​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P</m:t>
                      </m:r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¬</m:t>
                          </m:r>
                          <m:r>
                            <m:t>D</m:t>
                          </m:r>
                        </m:e>
                      </m:d>
                      <m:r>
                        <m:t>​</m:t>
                      </m:r>
                    </m:num>
                    <m:den>
                      <m:r>
                        <m:rPr>
                          <m:sty m:val="p"/>
                        </m:rPr>
                        <m:t>P</m:t>
                      </m:r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D</m:t>
                          </m:r>
                        </m:e>
                      </m:d>
                      <m:r>
                        <m:t>​</m:t>
                      </m:r>
                    </m:den>
                  </m:f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nor/>
                          <m:sty m:val="p"/>
                        </m:rPr>
                        <m:t>spec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sens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nor/>
                          <m:sty m:val="p"/>
                        </m:rPr>
                        <m:t>prev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prev</m:t>
                      </m:r>
                    </m:den>
                  </m:f>
                </m:den>
              </m:f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final form emphasizes the ratio of the false positive rate to the sensitivity, weighted by the ratio of non-diseased to diseased individuals in the population.</w:t>
      </w:r>
      <w:r>
        <w:t xml:space="preserve"> </w:t>
      </w:r>
      <w:r>
        <w:t xml:space="preserve">It shows that even with a very high sensitivity and specificity, the positive predictive value depends strongly on disease prevalence.</w:t>
      </w:r>
    </w:p>
    <w:p>
      <w:pPr>
        <w:pStyle w:val="BodyText"/>
      </w:pPr>
      <w:r>
        <w:t xml:space="preserve">This algebraic form is useful for understanding how the different parameters interact.</w:t>
      </w:r>
      <w:r>
        <w:t xml:space="preserve"> </w:t>
      </w:r>
      <w:r>
        <w:t xml:space="preserve">Notice how the prevalence ratio</w:t>
      </w:r>
      <w:r>
        <w:t xml:space="preserve"> </w:t>
      </w:r>
      <m:oMath>
        <m:r>
          <m:rPr>
            <m:sty m:val="p"/>
          </m:rPr>
          <m:t>P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¬</m:t>
            </m:r>
            <m:r>
              <m:t>D</m:t>
            </m:r>
          </m:e>
        </m:d>
        <m:r>
          <m:t>​</m:t>
        </m:r>
        <m:r>
          <m:rPr>
            <m:sty m:val="p"/>
          </m:rPr>
          <m:t>/</m:t>
        </m:r>
        <m:r>
          <m:rPr>
            <m:sty m:val="p"/>
          </m:rPr>
          <m:t>P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D</m:t>
            </m:r>
          </m:e>
        </m:d>
        <m:r>
          <m:t>​</m:t>
        </m:r>
      </m:oMath>
      <w:r>
        <w:t xml:space="preserve"> </w:t>
      </w:r>
      <w:r>
        <w:t xml:space="preserve">appears explicitly in the denominator.</w:t>
      </w:r>
      <w:r>
        <w:t xml:space="preserve"> </w:t>
      </w:r>
      <w:r>
        <w:t xml:space="preserve">When the disease is rare, this ratio is large, which reduces the positive predictive value.</w:t>
      </w:r>
    </w:p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:creator/>
  <cp:keywords/>
  <dcterms:created xsi:type="dcterms:W3CDTF">2026-06-20T09:29:03Z</dcterms:created>
  <dcterms:modified xsi:type="dcterms:W3CDTF">2026-06-20T09:29:03Z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