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Grammar</w:t>
      </w:r>
    </w:p>
    <w:p>
      <w:pPr>
        <w:pStyle w:val="Date"/>
      </w:pPr>
      <w:r>
        <w:t xml:space="preserve">Last modified: 2026-06-22 06:24:47 (UTC)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AI-Assisted Authorship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chapter was written with the assistance of GitHub Copilot,</w:t>
            </w:r>
            <w:r>
              <w:t xml:space="preserve"> </w:t>
            </w:r>
            <w:r>
              <w:t xml:space="preserve">which expanded on outlined ideas and draft notes provided by the author.</w:t>
            </w:r>
            <w:r>
              <w:t xml:space="preserve"> </w:t>
            </w:r>
            <w:r>
              <w:t xml:space="preserve">The content represents the author’s perspective and has been reviewed for accuracy,</w:t>
            </w:r>
            <w:r>
              <w:t xml:space="preserve"> </w:t>
            </w:r>
            <w:r>
              <w:t xml:space="preserve">but the detailed prose was generated through AI assistance.</w:t>
            </w:r>
          </w:p>
          <w:p/>
        </w:tc>
      </w:tr>
    </w:tbl>
    <w:p>
      <w:pPr>
        <w:pStyle w:val="BodyText"/>
      </w:pPr>
      <w:r>
        <w:t xml:space="preserve">Clear grammar removes friction between your ideas and your reader.</w:t>
      </w:r>
      <w:r>
        <w:t xml:space="preserve"> </w:t>
      </w:r>
      <w:r>
        <w:t xml:space="preserve">This chapter collects a few grammatical habits</w:t>
      </w:r>
      <w:r>
        <w:t xml:space="preserve"> </w:t>
      </w:r>
      <w:r>
        <w:t xml:space="preserve">that consistently make scientific writing easier to read.</w:t>
      </w:r>
    </w:p>
    <w:bookmarkStart w:id="17" w:name="relative-pronouns"/>
    <w:p>
      <w:pPr>
        <w:pStyle w:val="Heading2"/>
      </w:pPr>
      <w:r>
        <w:t xml:space="preserve">1 Relative pronouns</w:t>
      </w:r>
    </w:p>
    <w:p>
      <w:pPr>
        <w:pStyle w:val="FirstParagraph"/>
      </w:pPr>
      <w:r>
        <w:t xml:space="preserve">Relative pronouns introduce a clause that describes a preceding noun.</w:t>
      </w:r>
      <w:r>
        <w:t xml:space="preserve"> </w:t>
      </w:r>
      <w:r>
        <w:t xml:space="preserve">The relative pronouns are: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that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which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who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whom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whose</w:t>
      </w:r>
    </w:p>
    <w:p>
      <w:pPr>
        <w:pStyle w:val="FirstParagraph"/>
      </w:pPr>
      <w:r>
        <w:t xml:space="preserve">Two habits make these clauses easier to read:</w:t>
      </w:r>
      <w:r>
        <w:t xml:space="preserve"> </w:t>
      </w:r>
      <w:r>
        <w:t xml:space="preserve">choosing between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and</w:t>
      </w:r>
      <w:r>
        <w:t xml:space="preserve"> </w:t>
      </w:r>
      <w:r>
        <w:rPr>
          <w:i/>
          <w:iCs/>
        </w:rPr>
        <w:t xml:space="preserve">which</w:t>
      </w:r>
      <w:r>
        <w:t xml:space="preserve"> </w:t>
      </w:r>
      <w:r>
        <w:t xml:space="preserve">correctly,</w:t>
      </w:r>
      <w:r>
        <w:t xml:space="preserve"> </w:t>
      </w:r>
      <w:r>
        <w:t xml:space="preserve">and keeping the relative pronoun rather than dropping it.</w:t>
      </w:r>
    </w:p>
    <w:bookmarkStart w:id="14" w:name="Xf17ba7af2d51c809ef37a7d8ac5f7f22083a239"/>
    <w:p>
      <w:pPr>
        <w:pStyle w:val="Heading3"/>
      </w:pPr>
      <w:r>
        <w:t xml:space="preserve">1.1 Restrictive vs. non-restrictive clauses: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vs. </w:t>
      </w:r>
      <w:r>
        <w:rPr>
          <w:i/>
          <w:iCs/>
        </w:rPr>
        <w:t xml:space="preserve">which</w:t>
      </w:r>
    </w:p>
    <w:p>
      <w:pPr>
        <w:pStyle w:val="FirstParagraph"/>
      </w:pPr>
      <w:r>
        <w:t xml:space="preserve">Use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for a</w:t>
      </w:r>
      <w:r>
        <w:t xml:space="preserve"> </w:t>
      </w:r>
      <w:r>
        <w:rPr>
          <w:b/>
          <w:bCs/>
        </w:rPr>
        <w:t xml:space="preserve">restrictive</w:t>
      </w:r>
      <w:r>
        <w:t xml:space="preserve"> </w:t>
      </w:r>
      <w:r>
        <w:t xml:space="preserve">clause —</w:t>
      </w:r>
      <w:r>
        <w:t xml:space="preserve"> </w:t>
      </w:r>
      <w:r>
        <w:t xml:space="preserve">one that identifies which thing you mean,</w:t>
      </w:r>
      <w:r>
        <w:t xml:space="preserve"> </w:t>
      </w:r>
      <w:r>
        <w:t xml:space="preserve">and that cannot be removed without changing the meaning of the sentence.</w:t>
      </w:r>
      <w:r>
        <w:t xml:space="preserve"> </w:t>
      </w:r>
      <w:r>
        <w:t xml:space="preserve">Use</w:t>
      </w:r>
      <w:r>
        <w:t xml:space="preserve"> </w:t>
      </w:r>
      <w:r>
        <w:rPr>
          <w:i/>
          <w:iCs/>
        </w:rPr>
        <w:t xml:space="preserve">which</w:t>
      </w:r>
      <w:r>
        <w:t xml:space="preserve">, set off by commas, for a</w:t>
      </w:r>
      <w:r>
        <w:t xml:space="preserve"> </w:t>
      </w:r>
      <w:r>
        <w:rPr>
          <w:b/>
          <w:bCs/>
        </w:rPr>
        <w:t xml:space="preserve">non-restrictive</w:t>
      </w:r>
      <w:r>
        <w:t xml:space="preserve"> </w:t>
      </w:r>
      <w:r>
        <w:t xml:space="preserve">clause —</w:t>
      </w:r>
      <w:r>
        <w:t xml:space="preserve"> </w:t>
      </w:r>
      <w:r>
        <w:t xml:space="preserve">one that adds information the reader does not need</w:t>
      </w:r>
      <w:r>
        <w:t xml:space="preserve"> </w:t>
      </w:r>
      <w:r>
        <w:t xml:space="preserve">in order to know which thing you mean.</w:t>
      </w:r>
    </w:p>
    <w:bookmarkStart w:id="12" w:name="exm-that-restrictive"/>
    <w:p>
      <w:pPr>
        <w:pStyle w:val="BodyText"/>
      </w:pPr>
      <w:r>
        <w:rPr>
          <w:b/>
          <w:bCs/>
        </w:rPr>
        <w:t xml:space="preserve">Example 1 (Restrictive clause (</w:t>
      </w:r>
      <w:r>
        <w:rPr>
          <w:b/>
          <w:bCs/>
          <w:i/>
          <w:iCs/>
        </w:rPr>
        <w:t xml:space="preserve">that</w:t>
      </w:r>
      <w:r>
        <w:rPr>
          <w:b/>
          <w:bCs/>
        </w:rPr>
        <w:t xml:space="preserve">))</w:t>
      </w:r>
      <w:r>
        <w:t xml:space="preserve"> </w:t>
      </w:r>
      <w:r>
        <w:t xml:space="preserve"> </w:t>
      </w:r>
    </w:p>
    <w:p>
      <w:pPr>
        <w:pStyle w:val="BlockText"/>
      </w:pPr>
      <w:r>
        <w:t xml:space="preserve">The dataset</w:t>
      </w:r>
      <w:r>
        <w:t xml:space="preserve"> </w:t>
      </w:r>
      <w:r>
        <w:rPr>
          <w:b/>
          <w:bCs/>
        </w:rPr>
        <w:t xml:space="preserve">that</w:t>
      </w:r>
      <w:r>
        <w:t xml:space="preserve"> </w:t>
      </w:r>
      <w:r>
        <w:t xml:space="preserve">we collected in 2023 contains 4,000 records.</w:t>
      </w:r>
    </w:p>
    <w:p>
      <w:pPr>
        <w:pStyle w:val="FirstParagraph"/>
      </w:pPr>
      <w:r>
        <w:t xml:space="preserve">The clause</w:t>
      </w:r>
      <w:r>
        <w:t xml:space="preserve"> </w:t>
      </w:r>
      <w:r>
        <w:t xml:space="preserve">“that we collected in 2023”</w:t>
      </w:r>
      <w:r>
        <w:t xml:space="preserve"> </w:t>
      </w:r>
      <w:r>
        <w:t xml:space="preserve">tells the reader which dataset we mean.</w:t>
      </w:r>
      <w:r>
        <w:t xml:space="preserve"> </w:t>
      </w:r>
      <w:r>
        <w:t xml:space="preserve">Removing it changes the meaning,</w:t>
      </w:r>
      <w:r>
        <w:t xml:space="preserve"> </w:t>
      </w:r>
      <w:r>
        <w:t xml:space="preserve">so the clause is restrictive</w:t>
      </w:r>
      <w:r>
        <w:t xml:space="preserve"> </w:t>
      </w:r>
      <w:r>
        <w:t xml:space="preserve">and takes</w:t>
      </w:r>
      <w:r>
        <w:t xml:space="preserve"> </w:t>
      </w:r>
      <w:r>
        <w:rPr>
          <w:i/>
          <w:iCs/>
        </w:rPr>
        <w:t xml:space="preserve">that</w:t>
      </w:r>
      <w:r>
        <w:t xml:space="preserve"> </w:t>
      </w:r>
      <w:r>
        <w:t xml:space="preserve">with no comma.</w:t>
      </w:r>
    </w:p>
    <w:bookmarkEnd w:id="12"/>
    <w:bookmarkStart w:id="13" w:name="exm-which-nonrestrictive"/>
    <w:p>
      <w:pPr>
        <w:pStyle w:val="BodyText"/>
      </w:pPr>
      <w:r>
        <w:rPr>
          <w:b/>
          <w:bCs/>
        </w:rPr>
        <w:t xml:space="preserve">Example 2 (Non-restrictive clause (</w:t>
      </w:r>
      <w:r>
        <w:rPr>
          <w:b/>
          <w:bCs/>
          <w:i/>
          <w:iCs/>
        </w:rPr>
        <w:t xml:space="preserve">which</w:t>
      </w:r>
      <w:r>
        <w:rPr>
          <w:b/>
          <w:bCs/>
        </w:rPr>
        <w:t xml:space="preserve">))</w:t>
      </w:r>
      <w:r>
        <w:t xml:space="preserve"> </w:t>
      </w:r>
      <w:r>
        <w:t xml:space="preserve"> </w:t>
      </w:r>
    </w:p>
    <w:p>
      <w:pPr>
        <w:pStyle w:val="BlockText"/>
      </w:pPr>
      <w:r>
        <w:t xml:space="preserve">Our 2023 dataset,</w:t>
      </w:r>
      <w:r>
        <w:t xml:space="preserve"> </w:t>
      </w:r>
      <w:r>
        <w:rPr>
          <w:b/>
          <w:bCs/>
        </w:rPr>
        <w:t xml:space="preserve">which</w:t>
      </w:r>
      <w:r>
        <w:t xml:space="preserve"> </w:t>
      </w:r>
      <w:r>
        <w:t xml:space="preserve">contains 4,000 records, is publicly available.</w:t>
      </w:r>
    </w:p>
    <w:p>
      <w:pPr>
        <w:pStyle w:val="FirstParagraph"/>
      </w:pPr>
      <w:r>
        <w:t xml:space="preserve">The clause</w:t>
      </w:r>
      <w:r>
        <w:t xml:space="preserve"> </w:t>
      </w:r>
      <w:r>
        <w:t xml:space="preserve">“which contains 4,000 records”</w:t>
      </w:r>
      <w:r>
        <w:t xml:space="preserve"> </w:t>
      </w:r>
      <w:r>
        <w:t xml:space="preserve">adds a detail,</w:t>
      </w:r>
      <w:r>
        <w:t xml:space="preserve"> </w:t>
      </w:r>
      <w:r>
        <w:t xml:space="preserve">but the reader already knows which dataset we mean.</w:t>
      </w:r>
      <w:r>
        <w:t xml:space="preserve"> </w:t>
      </w:r>
      <w:r>
        <w:t xml:space="preserve">The clause is non-restrictive,</w:t>
      </w:r>
      <w:r>
        <w:t xml:space="preserve"> </w:t>
      </w:r>
      <w:r>
        <w:t xml:space="preserve">so it takes</w:t>
      </w:r>
      <w:r>
        <w:t xml:space="preserve"> </w:t>
      </w:r>
      <w:r>
        <w:rPr>
          <w:i/>
          <w:iCs/>
        </w:rPr>
        <w:t xml:space="preserve">which</w:t>
      </w:r>
      <w:r>
        <w:t xml:space="preserve"> </w:t>
      </w:r>
      <w:r>
        <w:t xml:space="preserve">and is set off by commas.</w:t>
      </w:r>
    </w:p>
    <w:bookmarkEnd w:id="13"/>
    <w:p>
      <w:pPr>
        <w:pStyle w:val="BodyText"/>
      </w:pPr>
      <w:r>
        <w:t xml:space="preserve">A quick test:</w:t>
      </w:r>
      <w:r>
        <w:t xml:space="preserve"> </w:t>
      </w:r>
      <w:r>
        <w:t xml:space="preserve">if you can drop the clause without changing which thing you are describing,</w:t>
      </w:r>
      <w:r>
        <w:t xml:space="preserve"> </w:t>
      </w:r>
      <w:r>
        <w:t xml:space="preserve">use</w:t>
      </w:r>
      <w:r>
        <w:t xml:space="preserve"> </w:t>
      </w:r>
      <w:r>
        <w:rPr>
          <w:i/>
          <w:iCs/>
        </w:rPr>
        <w:t xml:space="preserve">which</w:t>
      </w:r>
      <w:r>
        <w:t xml:space="preserve"> </w:t>
      </w:r>
      <w:r>
        <w:t xml:space="preserve">and commas;</w:t>
      </w:r>
      <w:r>
        <w:t xml:space="preserve"> </w:t>
      </w:r>
      <w:r>
        <w:t xml:space="preserve">otherwise, use</w:t>
      </w:r>
      <w:r>
        <w:t xml:space="preserve"> </w:t>
      </w:r>
      <w:r>
        <w:rPr>
          <w:i/>
          <w:iCs/>
        </w:rPr>
        <w:t xml:space="preserve">that</w:t>
      </w:r>
      <w:r>
        <w:t xml:space="preserve">.</w:t>
      </w:r>
    </w:p>
    <w:bookmarkEnd w:id="14"/>
    <w:bookmarkStart w:id="16" w:name="do-not-omit-relative-pronouns"/>
    <w:p>
      <w:pPr>
        <w:pStyle w:val="Heading3"/>
      </w:pPr>
      <w:r>
        <w:t xml:space="preserve">1.2 Do not omit relative pronouns</w:t>
      </w:r>
    </w:p>
    <w:p>
      <w:pPr>
        <w:pStyle w:val="FirstParagraph"/>
      </w:pPr>
      <w:r>
        <w:t xml:space="preserve">English lets you drop a relative pronoun in some sentences,</w:t>
      </w:r>
      <w:r>
        <w:t xml:space="preserve"> </w:t>
      </w:r>
      <w:r>
        <w:t xml:space="preserve">but keeping it makes the structure of the sentence explicit</w:t>
      </w:r>
      <w:r>
        <w:t xml:space="preserve"> </w:t>
      </w:r>
      <w:r>
        <w:t xml:space="preserve">and easier to parse on the first read.</w:t>
      </w:r>
      <w:r>
        <w:t xml:space="preserve"> </w:t>
      </w:r>
      <w:r>
        <w:t xml:space="preserve">Prefer to keep</w:t>
      </w:r>
      <w:r>
        <w:t xml:space="preserve"> </w:t>
      </w:r>
      <w:r>
        <w:rPr>
          <w:i/>
          <w:iCs/>
        </w:rPr>
        <w:t xml:space="preserve">that</w:t>
      </w:r>
      <w:r>
        <w:t xml:space="preserve">,</w:t>
      </w:r>
      <w:r>
        <w:t xml:space="preserve"> </w:t>
      </w:r>
      <w:r>
        <w:rPr>
          <w:i/>
          <w:iCs/>
        </w:rPr>
        <w:t xml:space="preserve">which</w:t>
      </w:r>
      <w:r>
        <w:t xml:space="preserve">, or</w:t>
      </w:r>
      <w:r>
        <w:t xml:space="preserve"> </w:t>
      </w:r>
      <w:r>
        <w:rPr>
          <w:i/>
          <w:iCs/>
        </w:rPr>
        <w:t xml:space="preserve">who</w:t>
      </w:r>
      <w:r>
        <w:t xml:space="preserve">,</w:t>
      </w:r>
      <w:r>
        <w:t xml:space="preserve"> </w:t>
      </w:r>
      <w:r>
        <w:t xml:space="preserve">even when the grammar would let you drop it.</w:t>
      </w:r>
    </w:p>
    <w:bookmarkStart w:id="15" w:name="exm-omitted-relative-pronoun"/>
    <w:p>
      <w:pPr>
        <w:pStyle w:val="BodyText"/>
      </w:pPr>
      <w:r>
        <w:rPr>
          <w:b/>
          <w:bCs/>
        </w:rPr>
        <w:t xml:space="preserve">Example 3 (Restoring an omitted relative pronoun)</w:t>
      </w:r>
      <w:r>
        <w:t xml:space="preserve"> </w:t>
      </w:r>
      <w:r>
        <w:t xml:space="preserve"> </w:t>
      </w:r>
    </w:p>
    <w:p>
      <w:pPr>
        <w:pStyle w:val="BlockText"/>
      </w:pPr>
      <w:r>
        <w:t xml:space="preserve">❌ This body of work laid the methodological groundwork I now apply to enteric fever.</w:t>
      </w:r>
    </w:p>
    <w:p>
      <w:pPr>
        <w:pStyle w:val="BlockText"/>
      </w:pPr>
      <w:r>
        <w:t xml:space="preserve">✅ This body of work laid the methodological groundwork</w:t>
      </w:r>
      <w:r>
        <w:t xml:space="preserve"> </w:t>
      </w:r>
      <w:r>
        <w:rPr>
          <w:b/>
          <w:bCs/>
        </w:rPr>
        <w:t xml:space="preserve">that</w:t>
      </w:r>
      <w:r>
        <w:t xml:space="preserve"> </w:t>
      </w:r>
      <w:r>
        <w:t xml:space="preserve">I now apply to enteric fever.</w:t>
      </w:r>
    </w:p>
    <w:p>
      <w:pPr>
        <w:pStyle w:val="FirstParagraph"/>
      </w:pPr>
      <w:r>
        <w:t xml:space="preserve">The word</w:t>
      </w:r>
      <w:r>
        <w:t xml:space="preserve"> </w:t>
      </w:r>
      <w:r>
        <w:t xml:space="preserve">“that”</w:t>
      </w:r>
      <w:r>
        <w:t xml:space="preserve"> </w:t>
      </w:r>
      <w:r>
        <w:t xml:space="preserve">signals immediately</w:t>
      </w:r>
      <w:r>
        <w:t xml:space="preserve"> </w:t>
      </w:r>
      <w:r>
        <w:t xml:space="preserve">that a describing clause is beginning,</w:t>
      </w:r>
      <w:r>
        <w:t xml:space="preserve"> </w:t>
      </w:r>
      <w:r>
        <w:t xml:space="preserve">so the reader does not briefly misread</w:t>
      </w:r>
      <w:r>
        <w:t xml:space="preserve"> </w:t>
      </w:r>
      <w:r>
        <w:t xml:space="preserve">“the methodological groundwork I”</w:t>
      </w:r>
      <w:r>
        <w:t xml:space="preserve"> </w:t>
      </w:r>
      <w:r>
        <w:t xml:space="preserve">as a single phrase</w:t>
      </w:r>
      <w:r>
        <w:t xml:space="preserve"> </w:t>
      </w:r>
      <w:r>
        <w:t xml:space="preserve">and then have to backtrack.</w:t>
      </w:r>
    </w:p>
    <w:bookmarkEnd w:id="15"/>
    <w:bookmarkEnd w:id="16"/>
    <w:bookmarkEnd w:id="17"/>
    <w:bookmarkStart w:id="19" w:name="demonstrative-pronouns"/>
    <w:p>
      <w:pPr>
        <w:pStyle w:val="Heading2"/>
      </w:pPr>
      <w:r>
        <w:t xml:space="preserve">2 Demonstrative pronouns</w:t>
      </w:r>
    </w:p>
    <w:p>
      <w:pPr>
        <w:pStyle w:val="FirstParagraph"/>
      </w:pPr>
      <w:r>
        <w:t xml:space="preserve">There are four demonstrative words: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this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that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these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those</w:t>
      </w:r>
    </w:p>
    <w:p>
      <w:pPr>
        <w:pStyle w:val="FirstParagraph"/>
      </w:pPr>
      <w:r>
        <w:t xml:space="preserve">They can serve two roles.</w:t>
      </w:r>
      <w:r>
        <w:t xml:space="preserve"> </w:t>
      </w:r>
      <w:r>
        <w:t xml:space="preserve">As adjectives, they modify a noun:</w:t>
      </w:r>
      <w:r>
        <w:t xml:space="preserve"> </w:t>
      </w:r>
      <w:r>
        <w:t xml:space="preserve">“</w:t>
      </w:r>
      <w:r>
        <w:rPr>
          <w:b/>
          <w:bCs/>
        </w:rPr>
        <w:t xml:space="preserve">this</w:t>
      </w:r>
      <w:r>
        <w:t xml:space="preserve"> </w:t>
      </w:r>
      <w:r>
        <w:t xml:space="preserve">result”</w:t>
      </w:r>
      <w:r>
        <w:t xml:space="preserve">,</w:t>
      </w:r>
      <w:r>
        <w:t xml:space="preserve"> </w:t>
      </w:r>
      <w:r>
        <w:t xml:space="preserve">“</w:t>
      </w:r>
      <w:r>
        <w:rPr>
          <w:b/>
          <w:bCs/>
        </w:rPr>
        <w:t xml:space="preserve">those</w:t>
      </w:r>
      <w:r>
        <w:t xml:space="preserve"> </w:t>
      </w:r>
      <w:r>
        <w:t xml:space="preserve">samples”</w:t>
      </w:r>
      <w:r>
        <w:t xml:space="preserve">.</w:t>
      </w:r>
      <w:r>
        <w:t xml:space="preserve"> </w:t>
      </w:r>
      <w:r>
        <w:t xml:space="preserve">As standalone pronouns, they replace a noun:</w:t>
      </w:r>
      <w:r>
        <w:t xml:space="preserve"> </w:t>
      </w:r>
      <w:r>
        <w:t xml:space="preserve">“</w:t>
      </w:r>
      <w:r>
        <w:rPr>
          <w:b/>
          <w:bCs/>
        </w:rPr>
        <w:t xml:space="preserve">This</w:t>
      </w:r>
      <w:r>
        <w:t xml:space="preserve"> </w:t>
      </w:r>
      <w:r>
        <w:t xml:space="preserve">shows…”</w:t>
      </w:r>
      <w:r>
        <w:t xml:space="preserve">,</w:t>
      </w:r>
      <w:r>
        <w:t xml:space="preserve"> </w:t>
      </w:r>
      <w:r>
        <w:t xml:space="preserve">“</w:t>
      </w:r>
      <w:r>
        <w:rPr>
          <w:b/>
          <w:bCs/>
        </w:rPr>
        <w:t xml:space="preserve">That</w:t>
      </w:r>
      <w:r>
        <w:t xml:space="preserve"> </w:t>
      </w:r>
      <w:r>
        <w:t xml:space="preserve">means…”</w:t>
      </w:r>
      <w:r>
        <w:t xml:space="preserve">.</w:t>
      </w:r>
    </w:p>
    <w:p>
      <w:pPr>
        <w:pStyle w:val="BodyText"/>
      </w:pPr>
      <w:r>
        <w:t xml:space="preserve">When a demonstrative stands alone as a pronoun,</w:t>
      </w:r>
      <w:r>
        <w:t xml:space="preserve"> </w:t>
      </w:r>
      <w:r>
        <w:t xml:space="preserve">the reader has to search backward for its referent —</w:t>
      </w:r>
      <w:r>
        <w:t xml:space="preserve"> </w:t>
      </w:r>
      <w:r>
        <w:t xml:space="preserve">and often the referent is a whole preceding clause</w:t>
      </w:r>
      <w:r>
        <w:t xml:space="preserve"> </w:t>
      </w:r>
      <w:r>
        <w:t xml:space="preserve">rather than a single noun,</w:t>
      </w:r>
      <w:r>
        <w:t xml:space="preserve"> </w:t>
      </w:r>
      <w:r>
        <w:t xml:space="preserve">which leaves the reference ambiguous.</w:t>
      </w:r>
      <w:r>
        <w:t xml:space="preserve"> </w:t>
      </w:r>
      <w:r>
        <w:t xml:space="preserve">Prefer to follow a demonstrative with the noun it points to,</w:t>
      </w:r>
      <w:r>
        <w:t xml:space="preserve"> </w:t>
      </w:r>
      <w:r>
        <w:t xml:space="preserve">so the reference is explicit.</w:t>
      </w:r>
    </w:p>
    <w:bookmarkStart w:id="18" w:name="exm-demonstrative-pronoun"/>
    <w:p>
      <w:pPr>
        <w:pStyle w:val="BodyText"/>
      </w:pPr>
      <w:r>
        <w:rPr>
          <w:b/>
          <w:bCs/>
        </w:rPr>
        <w:t xml:space="preserve">Example 4 (Naming the referent)</w:t>
      </w:r>
      <w:r>
        <w:t xml:space="preserve"> </w:t>
      </w:r>
      <w:r>
        <w:t xml:space="preserve"> </w:t>
      </w:r>
    </w:p>
    <w:p>
      <w:pPr>
        <w:pStyle w:val="BlockText"/>
      </w:pPr>
      <w:r>
        <w:t xml:space="preserve">❌ The model overfit the training data.</w:t>
      </w:r>
      <w:r>
        <w:t xml:space="preserve"> </w:t>
      </w:r>
      <w:r>
        <w:rPr>
          <w:b/>
          <w:bCs/>
        </w:rPr>
        <w:t xml:space="preserve">This</w:t>
      </w:r>
      <w:r>
        <w:t xml:space="preserve"> </w:t>
      </w:r>
      <w:r>
        <w:t xml:space="preserve">poses a problem for deployment.</w:t>
      </w:r>
    </w:p>
    <w:p>
      <w:pPr>
        <w:pStyle w:val="BlockText"/>
      </w:pPr>
      <w:r>
        <w:t xml:space="preserve">✅ The model overfit the training data.</w:t>
      </w:r>
      <w:r>
        <w:t xml:space="preserve"> </w:t>
      </w:r>
      <w:r>
        <w:rPr>
          <w:b/>
          <w:bCs/>
        </w:rPr>
        <w:t xml:space="preserve">This overfitting</w:t>
      </w:r>
      <w:r>
        <w:t xml:space="preserve"> </w:t>
      </w:r>
      <w:r>
        <w:t xml:space="preserve">poses a problem for deployment.</w:t>
      </w:r>
    </w:p>
    <w:p>
      <w:pPr>
        <w:pStyle w:val="FirstParagraph"/>
      </w:pPr>
      <w:r>
        <w:t xml:space="preserve">Adding the noun</w:t>
      </w:r>
      <w:r>
        <w:t xml:space="preserve"> </w:t>
      </w:r>
      <w:r>
        <w:t xml:space="preserve">“overfitting”</w:t>
      </w:r>
      <w:r>
        <w:t xml:space="preserve"> </w:t>
      </w:r>
      <w:r>
        <w:t xml:space="preserve">states exactly what</w:t>
      </w:r>
      <w:r>
        <w:t xml:space="preserve"> </w:t>
      </w:r>
      <w:r>
        <w:t xml:space="preserve">“this”</w:t>
      </w:r>
      <w:r>
        <w:t xml:space="preserve"> </w:t>
      </w:r>
      <w:r>
        <w:t xml:space="preserve">refers to,</w:t>
      </w:r>
      <w:r>
        <w:t xml:space="preserve"> </w:t>
      </w:r>
      <w:r>
        <w:t xml:space="preserve">instead of leaving the reader to infer it.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:creator/>
  <cp:keywords/>
  <dcterms:created xsi:type="dcterms:W3CDTF">2026-06-22T06:27:37Z</dcterms:created>
  <dcterms:modified xsi:type="dcterms:W3CDTF">2026-06-22T06:27:37Z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date">
    <vt:lpwstr>Last modified: 2026-06-22 06:24:47 (UTC)</vt:lpwstr>
  </property>
  <property fmtid="{D5CDD505-2E9C-101B-9397-08002B2CF9AE}" pid="7" name="date-format">
    <vt:lpwstr>[Last modified:] YYYY-MM-DD HH:mm:ss (z)</vt:lpwstr>
  </property>
  <property fmtid="{D5CDD505-2E9C-101B-9397-08002B2CF9AE}" pid="8" name="editor">
    <vt:lpwstr/>
  </property>
  <property fmtid="{D5CDD505-2E9C-101B-9397-08002B2CF9AE}" pid="9" name="editor_options">
    <vt:lpwstr/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nclude-after">
    <vt:lpwstr/>
  </property>
  <property fmtid="{D5CDD505-2E9C-101B-9397-08002B2CF9AE}" pid="13" name="include-before">
    <vt:lpwstr/>
  </property>
  <property fmtid="{D5CDD505-2E9C-101B-9397-08002B2CF9AE}" pid="14" name="knitr">
    <vt:lpwstr/>
  </property>
  <property fmtid="{D5CDD505-2E9C-101B-9397-08002B2CF9AE}" pid="15" name="labels">
    <vt:lpwstr/>
  </property>
  <property fmtid="{D5CDD505-2E9C-101B-9397-08002B2CF9AE}" pid="16" name="number-depth">
    <vt:lpwstr>3</vt:lpwstr>
  </property>
  <property fmtid="{D5CDD505-2E9C-101B-9397-08002B2CF9AE}" pid="17" name="toc-title">
    <vt:lpwstr>Table of contents</vt:lpwstr>
  </property>
</Properties>
</file>