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Defining terms clearly</w:t>
      </w:r>
    </w:p>
    <w:p>
      <w:pPr>
        <w:pStyle w:val="Date"/>
      </w:pPr>
      <w:r>
        <w:t xml:space="preserve">Last modified: 2026-06-22 06:24:47 (UTC)</w:t>
      </w:r>
    </w:p>
    <w:p>
      <w:pPr>
        <w:pStyle w:val="FirstParagraph"/>
      </w:pPr>
      <w:r>
        <w:t xml:space="preserve">Clear definitions are essential to effective scientific writing.</w:t>
      </w:r>
      <w:r>
        <w:t xml:space="preserve"> </w:t>
      </w:r>
      <w:r>
        <w:t xml:space="preserve">Every specialized term should have an explicit,</w:t>
      </w:r>
      <w:r>
        <w:t xml:space="preserve"> </w:t>
      </w:r>
      <w:r>
        <w:t xml:space="preserve">concise definition immediately before or after its first use.</w:t>
      </w:r>
      <w:r>
        <w:t xml:space="preserve"> </w:t>
      </w:r>
      <w:r>
        <w:t xml:space="preserve">Readers should not need to search for the meaning of a term</w:t>
      </w:r>
      <w:r>
        <w:t xml:space="preserve"> </w:t>
      </w:r>
      <w:r>
        <w:t xml:space="preserve">or infer it from context alone. For example:</w:t>
      </w:r>
    </w:p>
    <w:bookmarkStart w:id="9" w:name="def-term"/>
    <w:p>
      <w:pPr>
        <w:pStyle w:val="BodyText"/>
      </w:pPr>
      <w:r>
        <w:rPr>
          <w:b/>
          <w:bCs/>
        </w:rPr>
        <w:t xml:space="preserve">Definition 1 (Term)</w:t>
      </w:r>
      <w:r>
        <w:t xml:space="preserve"> </w:t>
      </w:r>
      <w:r>
        <w:t xml:space="preserve">A</w:t>
      </w:r>
      <w:r>
        <w:t xml:space="preserve"> </w:t>
      </w:r>
      <w:r>
        <w:rPr>
          <w:i/>
          <w:iCs/>
        </w:rPr>
        <w:t xml:space="preserve">term</w:t>
      </w:r>
      <w:r>
        <w:t xml:space="preserve"> </w:t>
      </w:r>
      <w:r>
        <w:t xml:space="preserve">is a word or phrase with a specific,</w:t>
      </w:r>
      <w:r>
        <w:t xml:space="preserve"> </w:t>
      </w:r>
      <w:r>
        <w:t xml:space="preserve">technical meaning within a particular field or context.</w:t>
      </w:r>
    </w:p>
    <w:bookmarkEnd w:id="9"/>
    <w:bookmarkStart w:id="11" w:name="exm-population"/>
    <w:p>
      <w:pPr>
        <w:pStyle w:val="BodyText"/>
      </w:pPr>
      <w:r>
        <w:rPr>
          <w:b/>
          <w:bCs/>
        </w:rPr>
        <w:t xml:space="preserve">Example 1 (Population)</w:t>
      </w:r>
      <w:r>
        <w:t xml:space="preserve"> </w:t>
      </w:r>
      <w:r>
        <w:t xml:space="preserve"> </w:t>
      </w:r>
    </w:p>
    <w:bookmarkStart w:id="10" w:name="def-population"/>
    <w:p>
      <w:pPr>
        <w:pStyle w:val="BodyText"/>
      </w:pPr>
      <w:r>
        <w:rPr>
          <w:b/>
          <w:bCs/>
        </w:rPr>
        <w:t xml:space="preserve">Definition 2 (Population)</w:t>
      </w:r>
      <w:r>
        <w:t xml:space="preserve"> </w:t>
      </w:r>
      <w:r>
        <w:t xml:space="preserve">In statistics,</w:t>
      </w:r>
      <w:r>
        <w:t xml:space="preserve"> </w:t>
      </w:r>
      <w:r>
        <w:t xml:space="preserve">the term</w:t>
      </w:r>
      <w:r>
        <w:t xml:space="preserve"> </w:t>
      </w:r>
      <w:r>
        <w:t xml:space="preserve">“population”</w:t>
      </w:r>
      <w:r>
        <w:t xml:space="preserve"> </w:t>
      </w:r>
      <w:r>
        <w:t xml:space="preserve">refers to the complete set of all items or individuals of interest,</w:t>
      </w:r>
      <w:r>
        <w:t xml:space="preserve"> </w:t>
      </w:r>
      <w:r>
        <w:t xml:space="preserve">not just a geographic population of people.</w:t>
      </w:r>
    </w:p>
    <w:bookmarkEnd w:id="10"/>
    <w:bookmarkEnd w:id="11"/>
    <w:bookmarkStart w:id="12" w:name="guidelines-for-defining-terms"/>
    <w:p>
      <w:pPr>
        <w:pStyle w:val="Heading2"/>
      </w:pPr>
      <w:r>
        <w:t xml:space="preserve">1 Guidelines for defining terms</w:t>
      </w:r>
    </w:p>
    <w:p>
      <w:pPr>
        <w:pStyle w:val="FirstParagraph"/>
      </w:pPr>
      <w:r>
        <w:t xml:space="preserve">Follow these principles when introducing new terms: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Provide explicit definitions:</w:t>
      </w:r>
      <w:r>
        <w:t xml:space="preserve"> </w:t>
      </w:r>
      <w:r>
        <w:t xml:space="preserve">State clearly what a term means,</w:t>
      </w:r>
      <w:r>
        <w:t xml:space="preserve"> </w:t>
      </w:r>
      <w:r>
        <w:t xml:space="preserve">rather than assuming readers will understand from context.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Be concise:</w:t>
      </w:r>
      <w:r>
        <w:t xml:space="preserve"> </w:t>
      </w:r>
      <w:r>
        <w:t xml:space="preserve">Definitions should be brief and focused,</w:t>
      </w:r>
      <w:r>
        <w:t xml:space="preserve"> </w:t>
      </w:r>
      <w:r>
        <w:t xml:space="preserve">using only the words necessary to convey the meaning.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Define terms at first use:</w:t>
      </w:r>
      <w:r>
        <w:t xml:space="preserve"> </w:t>
      </w:r>
      <w:r>
        <w:t xml:space="preserve">Place the definition immediately before or after the term’s first appearance.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Provide examples:</w:t>
      </w:r>
      <w:r>
        <w:t xml:space="preserve"> </w:t>
      </w:r>
      <w:r>
        <w:t xml:space="preserve">Every definition should include at least one concrete example</w:t>
      </w:r>
      <w:r>
        <w:t xml:space="preserve"> </w:t>
      </w:r>
      <w:r>
        <w:t xml:space="preserve">that illustrates how the term is used.</w:t>
      </w:r>
    </w:p>
    <w:bookmarkEnd w:id="12"/>
    <w:bookmarkStart w:id="17" w:name="examples-of-term-definitions"/>
    <w:p>
      <w:pPr>
        <w:pStyle w:val="Heading2"/>
      </w:pPr>
      <w:r>
        <w:t xml:space="preserve">2 Examples of term definitions</w:t>
      </w:r>
    </w:p>
    <w:p>
      <w:pPr>
        <w:pStyle w:val="FirstParagraph"/>
      </w:pPr>
      <w:r>
        <w:t xml:space="preserve">Here are examples of well-defined terms:</w:t>
      </w:r>
    </w:p>
    <w:bookmarkStart w:id="14" w:name="exm-confidence-interval"/>
    <w:p>
      <w:pPr>
        <w:pStyle w:val="BodyText"/>
      </w:pPr>
      <w:r>
        <w:rPr>
          <w:b/>
          <w:bCs/>
        </w:rPr>
        <w:t xml:space="preserve">Example 2 (Statistical term: Confidence interval)</w:t>
      </w:r>
      <w:r>
        <w:t xml:space="preserve"> </w:t>
      </w:r>
      <w:r>
        <w:t xml:space="preserve"> </w:t>
      </w:r>
    </w:p>
    <w:bookmarkStart w:id="13" w:name="def-confidence-interval"/>
    <w:p>
      <w:pPr>
        <w:pStyle w:val="BodyText"/>
      </w:pPr>
      <w:r>
        <w:rPr>
          <w:b/>
          <w:bCs/>
        </w:rPr>
        <w:t xml:space="preserve">Definition 3 (Confidence interval)</w:t>
      </w:r>
      <w:r>
        <w:t xml:space="preserve"> </w:t>
      </w:r>
      <w:r>
        <w:t xml:space="preserve">A</w:t>
      </w:r>
      <w:r>
        <w:t xml:space="preserve"> </w:t>
      </w:r>
      <w:r>
        <w:rPr>
          <w:i/>
          <w:iCs/>
        </w:rPr>
        <w:t xml:space="preserve">confidence interval</w:t>
      </w:r>
      <w:r>
        <w:t xml:space="preserve"> </w:t>
      </w:r>
      <w:r>
        <w:t xml:space="preserve">is a range of values,</w:t>
      </w:r>
      <w:r>
        <w:t xml:space="preserve"> </w:t>
      </w:r>
      <w:r>
        <w:t xml:space="preserve">derived from sample statistics,</w:t>
      </w:r>
      <w:r>
        <w:t xml:space="preserve"> </w:t>
      </w:r>
      <w:r>
        <w:t xml:space="preserve">that is likely to contain the true population parameter.</w:t>
      </w:r>
    </w:p>
    <w:bookmarkEnd w:id="13"/>
    <w:p>
      <w:pPr>
        <w:pStyle w:val="BodyText"/>
      </w:pPr>
      <w:r>
        <w:t xml:space="preserve">If we calculate a 95% confidence interval for mean height as [165 cm, 175 cm],</w:t>
      </w:r>
      <w:r>
        <w:t xml:space="preserve"> </w:t>
      </w:r>
      <w:r>
        <w:t xml:space="preserve">we are 95% confident that the true population mean height falls within this range.</w:t>
      </w:r>
    </w:p>
    <w:bookmarkEnd w:id="14"/>
    <w:bookmarkStart w:id="16" w:name="exm-active-voice"/>
    <w:p>
      <w:pPr>
        <w:pStyle w:val="BodyText"/>
      </w:pPr>
      <w:r>
        <w:rPr>
          <w:b/>
          <w:bCs/>
        </w:rPr>
        <w:t xml:space="preserve">Example 3 (Writing term: Active voice)</w:t>
      </w:r>
      <w:r>
        <w:t xml:space="preserve"> </w:t>
      </w:r>
      <w:r>
        <w:t xml:space="preserve"> </w:t>
      </w:r>
    </w:p>
    <w:bookmarkStart w:id="15" w:name="def-active-voice"/>
    <w:p>
      <w:pPr>
        <w:pStyle w:val="BodyText"/>
      </w:pPr>
      <w:r>
        <w:rPr>
          <w:b/>
          <w:bCs/>
        </w:rPr>
        <w:t xml:space="preserve">Definition 4 (Active voice)</w:t>
      </w:r>
      <w:r>
        <w:t xml:space="preserve"> </w:t>
      </w:r>
      <w:r>
        <w:rPr>
          <w:i/>
          <w:iCs/>
        </w:rPr>
        <w:t xml:space="preserve">Active voice</w:t>
      </w:r>
      <w:r>
        <w:t xml:space="preserve"> </w:t>
      </w:r>
      <w:r>
        <w:t xml:space="preserve">is a sentence structure where the subject performs the action expressed by the verb.</w:t>
      </w:r>
    </w:p>
    <w:bookmarkEnd w:id="15"/>
    <w:p>
      <w:pPr>
        <w:pStyle w:val="BodyText"/>
      </w:pPr>
      <w:r>
        <w:t xml:space="preserve">“The researcher conducted the experiment”</w:t>
      </w:r>
      <w:r>
        <w:t xml:space="preserve"> </w:t>
      </w:r>
      <w:r>
        <w:t xml:space="preserve">is in active voice,</w:t>
      </w:r>
      <w:r>
        <w:t xml:space="preserve"> </w:t>
      </w:r>
      <w:r>
        <w:t xml:space="preserve">while</w:t>
      </w:r>
      <w:r>
        <w:t xml:space="preserve"> </w:t>
      </w:r>
      <w:r>
        <w:t xml:space="preserve">“The experiment was conducted by the researcher”</w:t>
      </w:r>
      <w:r>
        <w:t xml:space="preserve"> </w:t>
      </w:r>
      <w:r>
        <w:t xml:space="preserve">is in passive voice.</w:t>
      </w:r>
    </w:p>
    <w:bookmarkEnd w:id="16"/>
    <w:bookmarkEnd w:id="17"/>
    <w:bookmarkStart w:id="18" w:name="why-examples-matter"/>
    <w:p>
      <w:pPr>
        <w:pStyle w:val="Heading2"/>
      </w:pPr>
      <w:r>
        <w:t xml:space="preserve">3 Why examples matter</w:t>
      </w:r>
    </w:p>
    <w:p>
      <w:pPr>
        <w:pStyle w:val="FirstParagraph"/>
      </w:pPr>
      <w:r>
        <w:t xml:space="preserve">Examples serve several crucial purposes: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Concrete understanding:</w:t>
      </w:r>
      <w:r>
        <w:t xml:space="preserve"> </w:t>
      </w:r>
      <w:r>
        <w:t xml:space="preserve">Examples transform abstract concepts into tangible instances</w:t>
      </w:r>
      <w:r>
        <w:t xml:space="preserve"> </w:t>
      </w:r>
      <w:r>
        <w:t xml:space="preserve">that readers can visualize and understand.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Verification:</w:t>
      </w:r>
      <w:r>
        <w:t xml:space="preserve"> </w:t>
      </w:r>
      <w:r>
        <w:t xml:space="preserve">Readers can work through examples themselves</w:t>
      </w:r>
      <w:r>
        <w:t xml:space="preserve"> </w:t>
      </w:r>
      <w:r>
        <w:t xml:space="preserve">to verify they understand the definition or theorem.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Application:</w:t>
      </w:r>
      <w:r>
        <w:t xml:space="preserve"> </w:t>
      </w:r>
      <w:r>
        <w:t xml:space="preserve">Examples show how to apply definitions and theorems</w:t>
      </w:r>
      <w:r>
        <w:t xml:space="preserve"> </w:t>
      </w:r>
      <w:r>
        <w:t xml:space="preserve">to solve real problems.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Memory:</w:t>
      </w:r>
      <w:r>
        <w:t xml:space="preserve"> </w:t>
      </w:r>
      <w:r>
        <w:t xml:space="preserve">Concrete examples are easier to remember</w:t>
      </w:r>
      <w:r>
        <w:t xml:space="preserve"> </w:t>
      </w:r>
      <w:r>
        <w:t xml:space="preserve">than abstract definitions alone.</w:t>
      </w:r>
    </w:p>
    <w:bookmarkEnd w:id="18"/>
    <w:bookmarkStart w:id="19" w:name="common-pitfalls-to-avoid"/>
    <w:p>
      <w:pPr>
        <w:pStyle w:val="Heading2"/>
      </w:pPr>
      <w:r>
        <w:t xml:space="preserve">4 Common pitfalls to avoid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Circular definitions:</w:t>
      </w:r>
      <w:r>
        <w:t xml:space="preserve"> </w:t>
      </w:r>
      <w:r>
        <w:t xml:space="preserve">Do not define a term using the term itself.</w:t>
      </w:r>
    </w:p>
    <w:p>
      <w:pPr>
        <w:numPr>
          <w:ilvl w:val="0"/>
          <w:numId w:val="1000"/>
        </w:numPr>
      </w:pPr>
      <w:r>
        <w:rPr>
          <w:b/>
          <w:bCs/>
        </w:rPr>
        <w:t xml:space="preserve">Incorrect:</w:t>
      </w:r>
      <w:r>
        <w:t xml:space="preserve"> </w:t>
      </w:r>
      <w:r>
        <w:t xml:space="preserve">“Conciseness is the quality of being concise.”</w:t>
      </w:r>
    </w:p>
    <w:p>
      <w:pPr>
        <w:numPr>
          <w:ilvl w:val="0"/>
          <w:numId w:val="1000"/>
        </w:numPr>
      </w:pPr>
      <w:r>
        <w:rPr>
          <w:b/>
          <w:bCs/>
        </w:rPr>
        <w:t xml:space="preserve">Correct:</w:t>
      </w:r>
      <w:r>
        <w:t xml:space="preserve"> </w:t>
      </w:r>
      <w:r>
        <w:t xml:space="preserve">“Conciseness is the quality of expressing ideas</w:t>
      </w:r>
      <w:r>
        <w:t xml:space="preserve"> </w:t>
      </w:r>
      <w:r>
        <w:t xml:space="preserve">using only the words necessary to communicate meaning clearly.”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Vague definitions:</w:t>
      </w:r>
      <w:r>
        <w:t xml:space="preserve"> </w:t>
      </w:r>
      <w:r>
        <w:t xml:space="preserve">Avoid definitions that rely on imprecise language.</w:t>
      </w:r>
    </w:p>
    <w:p>
      <w:pPr>
        <w:numPr>
          <w:ilvl w:val="0"/>
          <w:numId w:val="1000"/>
        </w:numPr>
      </w:pPr>
      <w:r>
        <w:rPr>
          <w:b/>
          <w:bCs/>
        </w:rPr>
        <w:t xml:space="preserve">Incorrect:</w:t>
      </w:r>
      <w:r>
        <w:t xml:space="preserve"> </w:t>
      </w:r>
      <w:r>
        <w:t xml:space="preserve">“A variable is something that can change.”</w:t>
      </w:r>
    </w:p>
    <w:p>
      <w:pPr>
        <w:numPr>
          <w:ilvl w:val="0"/>
          <w:numId w:val="1000"/>
        </w:numPr>
      </w:pPr>
      <w:r>
        <w:rPr>
          <w:b/>
          <w:bCs/>
        </w:rPr>
        <w:t xml:space="preserve">Correct:</w:t>
      </w:r>
      <w:r>
        <w:t xml:space="preserve"> </w:t>
      </w:r>
      <w:r>
        <w:t xml:space="preserve">“A variable is a symbol representing a value</w:t>
      </w:r>
      <w:r>
        <w:t xml:space="preserve"> </w:t>
      </w:r>
      <w:r>
        <w:t xml:space="preserve">that can take on different values.”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Missing examples:</w:t>
      </w:r>
      <w:r>
        <w:t xml:space="preserve"> </w:t>
      </w:r>
      <w:r>
        <w:t xml:space="preserve">Never leave a definition without at least one example.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Examples without context:</w:t>
      </w:r>
      <w:r>
        <w:t xml:space="preserve"> </w:t>
      </w:r>
      <w:r>
        <w:t xml:space="preserve">Ensure examples clearly illustrate the specific aspect</w:t>
      </w:r>
      <w:r>
        <w:t xml:space="preserve"> </w:t>
      </w:r>
      <w:r>
        <w:t xml:space="preserve">of the definition they are meant to demonstrate.</w:t>
      </w:r>
    </w:p>
    <w:bookmarkEnd w:id="19"/>
    <w:bookmarkStart w:id="27" w:name="mathematical-statements-require-examples"/>
    <w:p>
      <w:pPr>
        <w:pStyle w:val="Heading2"/>
      </w:pPr>
      <w:r>
        <w:t xml:space="preserve">5 Mathematical statements require examples</w:t>
      </w:r>
    </w:p>
    <w:p>
      <w:pPr>
        <w:pStyle w:val="FirstParagraph"/>
      </w:pPr>
      <w:r>
        <w:t xml:space="preserve">Mathematical theorems,</w:t>
      </w:r>
      <w:r>
        <w:t xml:space="preserve"> </w:t>
      </w:r>
      <w:r>
        <w:t xml:space="preserve">lemmas,</w:t>
      </w:r>
      <w:r>
        <w:t xml:space="preserve"> </w:t>
      </w:r>
      <w:r>
        <w:t xml:space="preserve">corollaries,</w:t>
      </w:r>
      <w:r>
        <w:t xml:space="preserve"> </w:t>
      </w:r>
      <w:r>
        <w:t xml:space="preserve">and postulates should always include examples</w:t>
      </w:r>
      <w:r>
        <w:t xml:space="preserve"> </w:t>
      </w:r>
      <w:r>
        <w:t xml:space="preserve">that demonstrate their application.</w:t>
      </w:r>
      <w:r>
        <w:t xml:space="preserve"> </w:t>
      </w:r>
      <w:r>
        <w:t xml:space="preserve">Abstract mathematical statements become more accessible</w:t>
      </w:r>
      <w:r>
        <w:t xml:space="preserve"> </w:t>
      </w:r>
      <w:r>
        <w:t xml:space="preserve">when readers can see concrete instances.</w:t>
      </w:r>
    </w:p>
    <w:bookmarkStart w:id="21" w:name="using-theorem-environments-in-quarto"/>
    <w:p>
      <w:pPr>
        <w:pStyle w:val="Heading3"/>
      </w:pPr>
      <w:r>
        <w:t xml:space="preserve">5.1 Using theorem environments in Quarto</w:t>
      </w:r>
    </w:p>
    <w:p>
      <w:pPr>
        <w:pStyle w:val="FirstParagraph"/>
      </w:pPr>
      <w:r>
        <w:t xml:space="preserve">When writing mathematical or technical content in Quarto,</w:t>
      </w:r>
      <w:r>
        <w:t xml:space="preserve"> </w:t>
      </w:r>
      <w:r>
        <w:t xml:space="preserve">use theorem environments to demarcate and highlight the structure of your content.</w:t>
      </w:r>
      <w:r>
        <w:t xml:space="preserve"> </w:t>
      </w:r>
      <w:r>
        <w:t xml:space="preserve">These environments provide consistent formatting,</w:t>
      </w:r>
      <w:r>
        <w:t xml:space="preserve"> </w:t>
      </w:r>
      <w:r>
        <w:t xml:space="preserve">automatic numbering,</w:t>
      </w:r>
      <w:r>
        <w:t xml:space="preserve"> </w:t>
      </w:r>
      <w:r>
        <w:t xml:space="preserve">and cross-reference capabilities.</w:t>
      </w:r>
    </w:p>
    <w:p>
      <w:pPr>
        <w:pStyle w:val="BodyText"/>
      </w:pPr>
      <w:r>
        <w:t xml:space="preserve">Quarto provides built-in theorem environments including: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#thm-</w:t>
      </w:r>
      <w:r>
        <w:t xml:space="preserve"> </w:t>
      </w:r>
      <w:r>
        <w:t xml:space="preserve">for theorems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#lem-</w:t>
      </w:r>
      <w:r>
        <w:t xml:space="preserve"> </w:t>
      </w:r>
      <w:r>
        <w:t xml:space="preserve">for lemmas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#cor-</w:t>
      </w:r>
      <w:r>
        <w:t xml:space="preserve"> </w:t>
      </w:r>
      <w:r>
        <w:t xml:space="preserve">for corollaries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#prp-</w:t>
      </w:r>
      <w:r>
        <w:t xml:space="preserve"> </w:t>
      </w:r>
      <w:r>
        <w:t xml:space="preserve">for propositions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#cnj-</w:t>
      </w:r>
      <w:r>
        <w:t xml:space="preserve"> </w:t>
      </w:r>
      <w:r>
        <w:t xml:space="preserve">for conjectures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#def-</w:t>
      </w:r>
      <w:r>
        <w:t xml:space="preserve"> </w:t>
      </w:r>
      <w:r>
        <w:t xml:space="preserve">for definitions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#exm-</w:t>
      </w:r>
      <w:r>
        <w:t xml:space="preserve"> </w:t>
      </w:r>
      <w:r>
        <w:t xml:space="preserve">for examples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#exr-</w:t>
      </w:r>
      <w:r>
        <w:t xml:space="preserve"> </w:t>
      </w:r>
      <w:r>
        <w:t xml:space="preserve">for exercises</w:t>
      </w:r>
    </w:p>
    <w:p>
      <w:pPr>
        <w:pStyle w:val="FirstParagraph"/>
      </w:pPr>
      <w:r>
        <w:t xml:space="preserve">See the</w:t>
      </w:r>
      <w:r>
        <w:t xml:space="preserve"> </w:t>
      </w:r>
      <w:hyperlink r:id="rId20">
        <w:r>
          <w:rPr>
            <w:rStyle w:val="Hyperlink"/>
          </w:rPr>
          <w:t xml:space="preserve">Quarto documentation on theorems and proofs</w:t>
        </w:r>
      </w:hyperlink>
      <w:r>
        <w:t xml:space="preserve"> </w:t>
      </w:r>
      <w:r>
        <w:t xml:space="preserve">for complete details.</w:t>
      </w:r>
    </w:p>
    <w:p>
      <w:pPr>
        <w:pStyle w:val="BodyText"/>
      </w:pPr>
      <w:r>
        <w:rPr>
          <w:b/>
          <w:bCs/>
        </w:rPr>
        <w:t xml:space="preserve">Example syntax:</w:t>
      </w:r>
    </w:p>
    <w:p>
      <w:pPr>
        <w:pStyle w:val="SourceCode"/>
      </w:pPr>
      <w:r>
        <w:rPr>
          <w:rStyle w:val="NormalTok"/>
        </w:rPr>
        <w:t xml:space="preserve">::: {#thm-pythagorean}</w:t>
      </w:r>
      <w:r>
        <w:br/>
      </w:r>
      <w:r>
        <w:br/>
      </w:r>
      <w:r>
        <w:rPr>
          <w:rStyle w:val="FunctionTok"/>
        </w:rPr>
        <w:t xml:space="preserve">## Pythagorean theorem</w:t>
      </w:r>
      <w:r>
        <w:br/>
      </w:r>
      <w:r>
        <w:br/>
      </w:r>
      <w:r>
        <w:rPr>
          <w:rStyle w:val="NormalTok"/>
        </w:rPr>
        <w:t xml:space="preserve">In a right triangle,</w:t>
      </w:r>
      <w:r>
        <w:br/>
      </w:r>
      <w:r>
        <w:rPr>
          <w:rStyle w:val="NormalTok"/>
        </w:rPr>
        <w:t xml:space="preserve">the square of the hypotenuse equals the sum of squares of the other two sides:</w:t>
      </w:r>
      <w:r>
        <w:br/>
      </w:r>
      <w:r>
        <w:rPr>
          <w:rStyle w:val="NormalTok"/>
        </w:rPr>
        <w:t xml:space="preserve">$a^2 + b^2 = c^2$.</w:t>
      </w:r>
      <w:r>
        <w:br/>
      </w:r>
      <w:r>
        <w:br/>
      </w:r>
      <w:r>
        <w:rPr>
          <w:rStyle w:val="NormalTok"/>
        </w:rPr>
        <w:t xml:space="preserve">:::</w:t>
      </w:r>
    </w:p>
    <w:p>
      <w:pPr>
        <w:pStyle w:val="FirstParagraph"/>
      </w:pPr>
      <w:r>
        <w:t xml:space="preserve">This produces automatically numbered output like</w:t>
      </w:r>
      <w:r>
        <w:t xml:space="preserve"> </w:t>
      </w:r>
      <w:r>
        <w:t xml:space="preserve">“Theorem 2.1 (Pythagorean theorem)”</w:t>
      </w:r>
      <w:r>
        <w:t xml:space="preserve"> </w:t>
      </w:r>
      <w:r>
        <w:t xml:space="preserve">and can be referenced elsewhere in your document using</w:t>
      </w:r>
      <w:r>
        <w:t xml:space="preserve"> </w:t>
      </w:r>
      <w:r>
        <w:rPr>
          <w:rStyle w:val="VerbatimChar"/>
        </w:rPr>
        <w:t xml:space="preserve">@thm-pythagorean</w:t>
      </w:r>
      <w:r>
        <w:t xml:space="preserve">.</w:t>
      </w:r>
    </w:p>
    <w:bookmarkEnd w:id="21"/>
    <w:bookmarkStart w:id="26" w:name="example-pythagorean-theorem"/>
    <w:p>
      <w:pPr>
        <w:pStyle w:val="Heading3"/>
      </w:pPr>
      <w:r>
        <w:t xml:space="preserve">5.2 Example: Pythagorean theorem</w:t>
      </w:r>
    </w:p>
    <w:bookmarkStart w:id="22" w:name="thm-pythagoras"/>
    <w:p>
      <w:pPr>
        <w:pStyle w:val="FirstParagraph"/>
      </w:pPr>
      <w:r>
        <w:rPr>
          <w:b/>
          <w:bCs/>
        </w:rPr>
        <w:t xml:space="preserve">Theorem 1 (Pythagorean theorem)</w:t>
      </w:r>
      <w:r>
        <w:t xml:space="preserve"> </w:t>
      </w:r>
      <w:r>
        <w:t xml:space="preserve">In a right triangle,</w:t>
      </w:r>
      <w:r>
        <w:t xml:space="preserve"> </w:t>
      </w:r>
      <w:r>
        <w:t xml:space="preserve">the square of the hypotenuse equals the sum of squares of the other two sides: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</w:t>
      </w:r>
    </w:p>
    <w:bookmarkEnd w:id="22"/>
    <w:bookmarkStart w:id="23" w:name="exm-pythagoras"/>
    <w:p>
      <w:pPr>
        <w:pStyle w:val="BodyText"/>
      </w:pPr>
      <w:r>
        <w:rPr>
          <w:b/>
          <w:bCs/>
        </w:rPr>
        <w:t xml:space="preserve">Example 4 (Pythagorean theorem example)</w:t>
      </w:r>
      <w:r>
        <w:t xml:space="preserve"> </w:t>
      </w:r>
      <w:r>
        <w:t xml:space="preserve">For a triangle with sides 3, 4, and 5:</w:t>
      </w:r>
      <w:r>
        <w:t xml:space="preserve"> </w:t>
      </w: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.</w:t>
      </w:r>
    </w:p>
    <w:bookmarkEnd w:id="23"/>
    <w:bookmarkStart w:id="24" w:name="def-postulate"/>
    <w:p>
      <w:pPr>
        <w:pStyle w:val="BodyText"/>
      </w:pPr>
      <w:r>
        <w:rPr>
          <w:b/>
          <w:bCs/>
        </w:rPr>
        <w:t xml:space="preserve">Definition 5 (Postulate (axiom))</w:t>
      </w:r>
      <w:r>
        <w:t xml:space="preserve"> </w:t>
      </w:r>
      <w:r>
        <w:t xml:space="preserve">A</w:t>
      </w:r>
      <w:r>
        <w:t xml:space="preserve"> </w:t>
      </w:r>
      <w:r>
        <w:rPr>
          <w:i/>
          <w:iCs/>
        </w:rPr>
        <w:t xml:space="preserve">postulate</w:t>
      </w:r>
      <w:r>
        <w:t xml:space="preserve"> </w:t>
      </w:r>
      <w:r>
        <w:t xml:space="preserve">(or axiom) is a statement accepted as true without proof,</w:t>
      </w:r>
      <w:r>
        <w:t xml:space="preserve"> </w:t>
      </w:r>
      <w:r>
        <w:t xml:space="preserve">serving as a starting point for further reasoning.</w:t>
      </w:r>
    </w:p>
    <w:bookmarkEnd w:id="24"/>
    <w:bookmarkStart w:id="25" w:name="exm-parallel-postulate"/>
    <w:p>
      <w:pPr>
        <w:pStyle w:val="BodyText"/>
      </w:pPr>
      <w:r>
        <w:rPr>
          <w:b/>
          <w:bCs/>
        </w:rPr>
        <w:t xml:space="preserve">Example 5 (Euclid’s parallel postulate)</w:t>
      </w:r>
      <w:r>
        <w:t xml:space="preserve"> </w:t>
      </w:r>
      <w:r>
        <w:t xml:space="preserve">Through a point not on a line,</w:t>
      </w:r>
      <w:r>
        <w:t xml:space="preserve"> </w:t>
      </w:r>
      <w:r>
        <w:t xml:space="preserve">exactly one line can be drawn parallel to the given line.</w:t>
      </w:r>
    </w:p>
    <w:p>
      <w:pPr>
        <w:pStyle w:val="BodyText"/>
      </w:pPr>
      <w:r>
        <w:t xml:space="preserve">If we have line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not on</w:t>
      </w:r>
      <w:r>
        <w:t xml:space="preserve"> </w:t>
      </w:r>
      <m:oMath>
        <m:r>
          <m:t>L</m:t>
        </m:r>
      </m:oMath>
      <w:r>
        <w:t xml:space="preserve">,</w:t>
      </w:r>
      <w:r>
        <w:t xml:space="preserve"> </w:t>
      </w:r>
      <w:r>
        <w:t xml:space="preserve">only one line through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will never intersect</w:t>
      </w:r>
      <w:r>
        <w:t xml:space="preserve"> </w:t>
      </w:r>
      <m:oMath>
        <m:r>
          <m:t>L</m:t>
        </m:r>
      </m:oMath>
      <w:r>
        <w:t xml:space="preserve">.</w:t>
      </w:r>
    </w:p>
    <w:bookmarkEnd w:id="25"/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0" Target="https://quarto.org/docs/authoring/cross-references.html#theorems-and-proof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quarto.org/docs/authoring/cross-references.html#theorems-and-proof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terms clearly</dc:title>
  <dc:creator/>
  <cp:keywords/>
  <dcterms:created xsi:type="dcterms:W3CDTF">2026-06-22T06:27:29Z</dcterms:created>
  <dcterms:modified xsi:type="dcterms:W3CDTF">2026-06-22T06:27:29Z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