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Avoiding AI tells</w:t>
      </w:r>
    </w:p>
    <w:p>
      <w:pPr>
        <w:pStyle w:val="Date"/>
      </w:pPr>
      <w:r>
        <w:t xml:space="preserve">Last modified: 2026-06-22 06:24:47 (UTC)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AI-Assisted Authorship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chapter was written with the assistance of GitHub Copilot,</w:t>
            </w:r>
            <w:r>
              <w:t xml:space="preserve"> </w:t>
            </w:r>
            <w:r>
              <w:t xml:space="preserve">which expanded on outlined ideas and draft notes provided by the author.</w:t>
            </w:r>
            <w:r>
              <w:t xml:space="preserve"> </w:t>
            </w:r>
            <w:r>
              <w:t xml:space="preserve">The content represents the author’s perspective and has been reviewed for accuracy,</w:t>
            </w:r>
            <w:r>
              <w:t xml:space="preserve"> </w:t>
            </w:r>
            <w:r>
              <w:t xml:space="preserve">but the detailed prose was generated through AI assistance.</w:t>
            </w:r>
          </w:p>
          <w:p/>
        </w:tc>
      </w:tr>
    </w:tbl>
    <w:p>
      <w:pPr>
        <w:pStyle w:val="BodyText"/>
      </w:pPr>
      <w:r>
        <w:t xml:space="preserve">AI writing assistants have a recognizable house style.</w:t>
      </w:r>
      <w:r>
        <w:t xml:space="preserve"> </w:t>
      </w:r>
      <w:r>
        <w:t xml:space="preserve">When you let one draft your prose,</w:t>
      </w:r>
      <w:r>
        <w:t xml:space="preserve"> </w:t>
      </w:r>
      <w:r>
        <w:t xml:space="preserve">it leaves fingerprints:</w:t>
      </w:r>
      <w:r>
        <w:t xml:space="preserve"> </w:t>
      </w:r>
      <w:r>
        <w:t xml:space="preserve">words, sentence shapes, and formatting habits</w:t>
      </w:r>
      <w:r>
        <w:t xml:space="preserve"> </w:t>
      </w:r>
      <w:r>
        <w:t xml:space="preserve">that recur across unrelated documents.</w:t>
      </w:r>
      <w:r>
        <w:t xml:space="preserve"> </w:t>
      </w:r>
      <w:r>
        <w:t xml:space="preserve">Readers who have seen enough machine-generated text learn to spot these patterns,</w:t>
      </w:r>
      <w:r>
        <w:t xml:space="preserve"> </w:t>
      </w:r>
      <w:r>
        <w:t xml:space="preserve">and once they do,</w:t>
      </w:r>
      <w:r>
        <w:t xml:space="preserve"> </w:t>
      </w:r>
      <w:r>
        <w:t xml:space="preserve">the writing reads as generic and unconsidered,</w:t>
      </w:r>
      <w:r>
        <w:t xml:space="preserve"> </w:t>
      </w:r>
      <w:r>
        <w:t xml:space="preserve">even when the underlying content is sound.</w:t>
      </w:r>
    </w:p>
    <w:p>
      <w:pPr>
        <w:pStyle w:val="BodyText"/>
      </w:pPr>
      <w:r>
        <w:t xml:space="preserve">This chapter catalogs the most common tells so you can remove them.</w:t>
      </w:r>
      <w:r>
        <w:t xml:space="preserve"> </w:t>
      </w:r>
      <w:r>
        <w:t xml:space="preserve">It is written mainly for AI assistants drafting scientific prose,</w:t>
      </w:r>
      <w:r>
        <w:t xml:space="preserve"> </w:t>
      </w:r>
      <w:r>
        <w:t xml:space="preserve">but it is just as useful for humans editing AI-assisted drafts.</w:t>
      </w:r>
    </w:p>
    <w:p>
      <w:pPr>
        <w:pStyle w:val="BodyText"/>
      </w:pPr>
      <w:r>
        <w:t xml:space="preserve">One caveat first:</w:t>
      </w:r>
      <w:r>
        <w:t xml:space="preserve"> </w:t>
      </w:r>
      <w:r>
        <w:t xml:space="preserve">no single word or pattern below is wrong on its own.</w:t>
      </w:r>
      <w:r>
        <w:t xml:space="preserve"> </w:t>
      </w:r>
      <w:r>
        <w:t xml:space="preserve">Each has legitimate uses.</w:t>
      </w:r>
      <w:r>
        <w:t xml:space="preserve"> </w:t>
      </w:r>
      <w:r>
        <w:t xml:space="preserve">The signal is clustering and mechanical repetition,</w:t>
      </w:r>
      <w:r>
        <w:t xml:space="preserve"> </w:t>
      </w:r>
      <w:r>
        <w:t xml:space="preserve">the same constructions appearing again and again</w:t>
      </w:r>
      <w:r>
        <w:t xml:space="preserve"> </w:t>
      </w:r>
      <w:r>
        <w:t xml:space="preserve">regardless of what the sentence needs.</w:t>
      </w:r>
      <w:r>
        <w:t xml:space="preserve"> </w:t>
      </w:r>
      <w:r>
        <w:t xml:space="preserve">Edit for the cluster, not the isolated instance,</w:t>
      </w:r>
      <w:r>
        <w:t xml:space="preserve"> </w:t>
      </w:r>
      <w:r>
        <w:t xml:space="preserve">and do not flatten your prose into a voiceless register</w:t>
      </w:r>
      <w:r>
        <w:t xml:space="preserve"> </w:t>
      </w:r>
      <w:r>
        <w:t xml:space="preserve">trying to avoid every word on a list.</w:t>
      </w:r>
    </w:p>
    <w:bookmarkStart w:id="14" w:name="overused-vocabulary"/>
    <w:p>
      <w:pPr>
        <w:pStyle w:val="Heading2"/>
      </w:pPr>
      <w:r>
        <w:t xml:space="preserve">1 Overused vocabulary</w:t>
      </w:r>
    </w:p>
    <w:p>
      <w:pPr>
        <w:pStyle w:val="FirstParagraph"/>
      </w:pPr>
      <w:r>
        <w:t xml:space="preserve">Some words appear far more often in machine-generated text</w:t>
      </w:r>
      <w:r>
        <w:t xml:space="preserve"> </w:t>
      </w:r>
      <w:r>
        <w:t xml:space="preserve">than in careful human writing.</w:t>
      </w:r>
      <w:r>
        <w:t xml:space="preserve"> </w:t>
      </w:r>
      <w:r>
        <w:t xml:space="preserve">Many are also Latin-derived words with plainer alternatives,</w:t>
      </w:r>
      <w:r>
        <w:t xml:space="preserve"> </w:t>
      </w:r>
      <w:r>
        <w:t xml:space="preserve">so the advice here overlaps with the</w:t>
      </w:r>
      <w:r>
        <w:t xml:space="preserve"> </w:t>
      </w:r>
      <w:hyperlink r:id="rId12">
        <w:r>
          <w:rPr>
            <w:rStyle w:val="Hyperlink"/>
          </w:rPr>
          <w:t xml:space="preserve">Word choice</w:t>
        </w:r>
      </w:hyperlink>
      <w:r>
        <w:t xml:space="preserve"> </w:t>
      </w:r>
      <w:r>
        <w:t xml:space="preserve">chapter.</w:t>
      </w:r>
      <w:r>
        <w:t xml:space="preserve"> </w:t>
      </w:r>
      <w:hyperlink w:anchor="tbl-ai-vocabul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lists frequent offenders and plainer replacements.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tbl-ai-vocabul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Words overused by AI assistants and plainer alternatives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Overused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Plainer alternative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delve into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examine, study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leverage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utilize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showcase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show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robust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reliable, well-tested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seamless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smooth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pivotal, crucial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important, key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testament to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shows, demonstrates</w:t>
                  </w:r>
                </w:p>
              </w:tc>
            </w:tr>
          </w:tbl>
          <w:bookmarkEnd w:id="13"/>
          <w:p/>
        </w:tc>
      </w:tr>
    </w:tbl>
    <w:p>
      <w:pPr>
        <w:pStyle w:val="BodyText"/>
      </w:pPr>
      <w:r>
        <w:t xml:space="preserve">Whole phrases recur too.</w:t>
      </w:r>
      <w:r>
        <w:t xml:space="preserve"> </w:t>
      </w:r>
      <w:r>
        <w:t xml:space="preserve">“In today’s fast-paced world”</w:t>
      </w:r>
      <w:r>
        <w:t xml:space="preserve">,</w:t>
      </w:r>
      <w:r>
        <w:t xml:space="preserve"> </w:t>
      </w:r>
      <w:r>
        <w:t xml:space="preserve">“it is important to note that”</w:t>
      </w:r>
      <w:r>
        <w:t xml:space="preserve">,</w:t>
      </w:r>
      <w:r>
        <w:t xml:space="preserve"> </w:t>
      </w:r>
      <w:r>
        <w:t xml:space="preserve">and</w:t>
      </w:r>
      <w:r>
        <w:t xml:space="preserve"> </w:t>
      </w:r>
      <w:r>
        <w:t xml:space="preserve">“plays a vital role in”</w:t>
      </w:r>
      <w:r>
        <w:t xml:space="preserve"> </w:t>
      </w:r>
      <w:r>
        <w:t xml:space="preserve">add length without content;</w:t>
      </w:r>
      <w:r>
        <w:t xml:space="preserve"> </w:t>
      </w:r>
      <w:r>
        <w:t xml:space="preserve">delete them and start with the actual point.</w:t>
      </w:r>
    </w:p>
    <w:bookmarkEnd w:id="14"/>
    <w:bookmarkStart w:id="16" w:name="rhetorical-reflexes"/>
    <w:p>
      <w:pPr>
        <w:pStyle w:val="Heading2"/>
      </w:pPr>
      <w:r>
        <w:t xml:space="preserve">2 Rhetorical reflexes</w:t>
      </w:r>
    </w:p>
    <w:p>
      <w:pPr>
        <w:pStyle w:val="FirstParagraph"/>
      </w:pPr>
      <w:r>
        <w:t xml:space="preserve">AI assistants reach for a few sentence shapes by reflex,</w:t>
      </w:r>
      <w:r>
        <w:t xml:space="preserve"> </w:t>
      </w:r>
      <w:r>
        <w:t xml:space="preserve">whether or not the content calls for them.</w:t>
      </w:r>
    </w:p>
    <w:p>
      <w:pPr>
        <w:pStyle w:val="BodyText"/>
      </w:pPr>
      <w:r>
        <w:t xml:space="preserve">The strongest tell is the</w:t>
      </w:r>
      <w:r>
        <w:t xml:space="preserve"> </w:t>
      </w:r>
      <w:r>
        <w:rPr>
          <w:i/>
          <w:iCs/>
        </w:rPr>
        <w:t xml:space="preserve">not just X, but Y</w:t>
      </w:r>
      <w:r>
        <w:t xml:space="preserve"> </w:t>
      </w:r>
      <w:r>
        <w:t xml:space="preserve">antithesis.</w:t>
      </w:r>
      <w:r>
        <w:t xml:space="preserve"> </w:t>
      </w:r>
      <w:r>
        <w:t xml:space="preserve">It promises a profound contrast and usually delivers a hollow one.</w:t>
      </w:r>
    </w:p>
    <w:bookmarkStart w:id="15" w:name="exm-antithesis"/>
    <w:p>
      <w:pPr>
        <w:pStyle w:val="BodyText"/>
      </w:pPr>
      <w:r>
        <w:rPr>
          <w:b/>
          <w:bCs/>
        </w:rPr>
        <w:t xml:space="preserve">Example 1 (The</w:t>
      </w:r>
      <w:r>
        <w:rPr>
          <w:b/>
          <w:bCs/>
        </w:rPr>
        <w:t xml:space="preserve"> </w:t>
      </w:r>
      <w:r>
        <w:rPr>
          <w:b/>
          <w:bCs/>
        </w:rPr>
        <w:t xml:space="preserve">“not just X, but Y”</w:t>
      </w:r>
      <w:r>
        <w:rPr>
          <w:b/>
          <w:bCs/>
        </w:rPr>
        <w:t xml:space="preserve"> </w:t>
      </w:r>
      <w:r>
        <w:rPr>
          <w:b/>
          <w:bCs/>
        </w:rPr>
        <w:t xml:space="preserve">reflex)</w:t>
      </w:r>
      <w:r>
        <w:t xml:space="preserve"> </w:t>
      </w:r>
      <w:r>
        <w:t xml:space="preserve"> </w:t>
      </w:r>
    </w:p>
    <w:p>
      <w:pPr>
        <w:pStyle w:val="BlockText"/>
      </w:pPr>
      <w:r>
        <w:t xml:space="preserve">❌ This method is not just fast — it is transformative.</w:t>
      </w:r>
    </w:p>
    <w:p>
      <w:pPr>
        <w:pStyle w:val="BlockText"/>
      </w:pPr>
      <w:r>
        <w:t xml:space="preserve">✅ This method runs in half the time of the previous approach.</w:t>
      </w:r>
    </w:p>
    <w:p>
      <w:pPr>
        <w:pStyle w:val="FirstParagraph"/>
      </w:pPr>
      <w:r>
        <w:t xml:space="preserve">The plain version makes a concrete, verifiable claim.</w:t>
      </w:r>
      <w:r>
        <w:t xml:space="preserve"> </w:t>
      </w:r>
      <w:r>
        <w:t xml:space="preserve">The antithesis frame makes none.</w:t>
      </w:r>
    </w:p>
    <w:bookmarkEnd w:id="15"/>
    <w:p>
      <w:pPr>
        <w:pStyle w:val="BodyText"/>
      </w:pPr>
      <w:r>
        <w:t xml:space="preserve">Other reflexes to watch for: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Mechanical lists of three.</w:t>
      </w:r>
      <w:r>
        <w:t xml:space="preserve"> </w:t>
      </w:r>
      <w:r>
        <w:t xml:space="preserve">Three parallel items appear whether or not</w:t>
      </w:r>
      <w:r>
        <w:t xml:space="preserve"> </w:t>
      </w:r>
      <w:r>
        <w:t xml:space="preserve">three is the right count. Use the number of items the point actually needs.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Signpost filler.</w:t>
      </w:r>
      <w:r>
        <w:t xml:space="preserve"> </w:t>
      </w:r>
      <w:r>
        <w:t xml:space="preserve">Phrases like</w:t>
      </w:r>
      <w:r>
        <w:t xml:space="preserve"> </w:t>
      </w:r>
      <w:r>
        <w:t xml:space="preserve">“it is worth noting that”</w:t>
      </w:r>
      <w:r>
        <w:t xml:space="preserve"> </w:t>
      </w:r>
      <w:r>
        <w:t xml:space="preserve">and</w:t>
      </w:r>
      <w:r>
        <w:t xml:space="preserve"> </w:t>
      </w:r>
      <w:r>
        <w:t xml:space="preserve">“importantly”</w:t>
      </w:r>
      <w:r>
        <w:t xml:space="preserve"> </w:t>
      </w:r>
      <w:r>
        <w:t xml:space="preserve">announce a point instead of making it. Cut them and state the point directly.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Hedging stacks.</w:t>
      </w:r>
      <w:r>
        <w:t xml:space="preserve"> </w:t>
      </w:r>
      <w:r>
        <w:t xml:space="preserve">“May potentially suggest”</w:t>
      </w:r>
      <w:r>
        <w:t xml:space="preserve"> </w:t>
      </w:r>
      <w:r>
        <w:t xml:space="preserve">and</w:t>
      </w:r>
      <w:r>
        <w:t xml:space="preserve"> </w:t>
      </w:r>
      <w:r>
        <w:t xml:space="preserve">“could possibly indicate”</w:t>
      </w:r>
      <w:r>
        <w:t xml:space="preserve"> </w:t>
      </w:r>
      <w:r>
        <w:t xml:space="preserve">pile up qualifiers. Keep one honest hedge; drop the rest.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Hollow summaries.</w:t>
      </w:r>
      <w:r>
        <w:t xml:space="preserve"> </w:t>
      </w:r>
      <w:r>
        <w:t xml:space="preserve">A closing paragraph that opens with</w:t>
      </w:r>
      <w:r>
        <w:t xml:space="preserve"> </w:t>
      </w:r>
      <w:r>
        <w:t xml:space="preserve">“in conclusion”</w:t>
      </w:r>
      <w:r>
        <w:t xml:space="preserve"> </w:t>
      </w:r>
      <w:r>
        <w:t xml:space="preserve">and</w:t>
      </w:r>
      <w:r>
        <w:t xml:space="preserve"> </w:t>
      </w:r>
      <w:r>
        <w:t xml:space="preserve">only restates what you just said adds nothing. End on a real point.</w:t>
      </w:r>
    </w:p>
    <w:bookmarkEnd w:id="16"/>
    <w:bookmarkStart w:id="17" w:name="formatting-habits"/>
    <w:p>
      <w:pPr>
        <w:pStyle w:val="Heading2"/>
      </w:pPr>
      <w:r>
        <w:t xml:space="preserve">3 Formatting habits</w:t>
      </w:r>
    </w:p>
    <w:p>
      <w:pPr>
        <w:pStyle w:val="FirstParagraph"/>
      </w:pPr>
      <w:r>
        <w:t xml:space="preserve">Some tells are typographic rather than verbal.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The em-dash as a default connector.</w:t>
      </w:r>
      <w:r>
        <w:t xml:space="preserve"> </w:t>
      </w:r>
      <w:r>
        <w:t xml:space="preserve">AI text reaches for the em-dash to</w:t>
      </w:r>
      <w:r>
        <w:t xml:space="preserve"> </w:t>
      </w:r>
      <w:r>
        <w:t xml:space="preserve">join almost any two clauses. Vary your punctuation: a period, a comma, or a</w:t>
      </w:r>
      <w:r>
        <w:t xml:space="preserve"> </w:t>
      </w:r>
      <w:r>
        <w:t xml:space="preserve">semicolon is often the better fit.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Bold-leading bullets everywhere.</w:t>
      </w:r>
      <w:r>
        <w:t xml:space="preserve"> </w:t>
      </w:r>
      <w:r>
        <w:t xml:space="preserve">A</w:t>
      </w:r>
      <w:r>
        <w:t xml:space="preserve"> </w:t>
      </w:r>
      <w:r>
        <w:rPr>
          <w:rStyle w:val="VerbatimChar"/>
        </w:rPr>
        <w:t xml:space="preserve">**Term:** explanation</w:t>
      </w:r>
      <w:r>
        <w:t xml:space="preserve"> </w:t>
      </w:r>
      <w:r>
        <w:t xml:space="preserve">bullet is fine</w:t>
      </w:r>
      <w:r>
        <w:t xml:space="preserve"> </w:t>
      </w:r>
      <w:r>
        <w:t xml:space="preserve">once, but applying the pattern to every list turns it into a tic. Use it when</w:t>
      </w:r>
      <w:r>
        <w:t xml:space="preserve"> </w:t>
      </w:r>
      <w:r>
        <w:t xml:space="preserve">the label earns emphasis, plain bullets otherwise.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Emoji section headers.</w:t>
      </w:r>
      <w:r>
        <w:t xml:space="preserve"> </w:t>
      </w:r>
      <w:r>
        <w:t xml:space="preserve">Emoji in headings signal a blog post, not a</w:t>
      </w:r>
      <w:r>
        <w:t xml:space="preserve"> </w:t>
      </w:r>
      <w:r>
        <w:t xml:space="preserve">scientific document. Leave them out.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Uniform paragraph rhythm.</w:t>
      </w:r>
      <w:r>
        <w:t xml:space="preserve"> </w:t>
      </w:r>
      <w:r>
        <w:t xml:space="preserve">Paragraphs of near-identical length, each three</w:t>
      </w:r>
      <w:r>
        <w:t xml:space="preserve"> </w:t>
      </w:r>
      <w:r>
        <w:t xml:space="preserve">or four sentences, read as machine-paced. Let paragraph length follow the</w:t>
      </w:r>
      <w:r>
        <w:t xml:space="preserve"> </w:t>
      </w:r>
      <w:r>
        <w:t xml:space="preserve">ideas.</w:t>
      </w:r>
    </w:p>
    <w:bookmarkEnd w:id="17"/>
    <w:bookmarkStart w:id="19" w:name="tone"/>
    <w:p>
      <w:pPr>
        <w:pStyle w:val="Heading2"/>
      </w:pPr>
      <w:r>
        <w:t xml:space="preserve">4 Tone</w:t>
      </w:r>
    </w:p>
    <w:p>
      <w:pPr>
        <w:pStyle w:val="FirstParagraph"/>
      </w:pPr>
      <w:r>
        <w:t xml:space="preserve">The last group of tells is about register.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Promotional language.</w:t>
      </w:r>
      <w:r>
        <w:t xml:space="preserve"> </w:t>
      </w:r>
      <w:r>
        <w:t xml:space="preserve">Words like</w:t>
      </w:r>
      <w:r>
        <w:t xml:space="preserve"> </w:t>
      </w:r>
      <w:r>
        <w:t xml:space="preserve">“powerful”</w:t>
      </w:r>
      <w:r>
        <w:t xml:space="preserve">,</w:t>
      </w:r>
      <w:r>
        <w:t xml:space="preserve"> </w:t>
      </w:r>
      <w:r>
        <w:t xml:space="preserve">“game-changing”</w:t>
      </w:r>
      <w:r>
        <w:t xml:space="preserve">, and</w:t>
      </w:r>
      <w:r>
        <w:t xml:space="preserve"> </w:t>
      </w:r>
      <w:r>
        <w:t xml:space="preserve">“cutting-edge”</w:t>
      </w:r>
      <w:r>
        <w:t xml:space="preserve"> </w:t>
      </w:r>
      <w:r>
        <w:t xml:space="preserve">sell rather than inform. Describe what the thing does and let</w:t>
      </w:r>
      <w:r>
        <w:t xml:space="preserve"> </w:t>
      </w:r>
      <w:r>
        <w:t xml:space="preserve">the reader judge.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Reflexive both-sides framing.</w:t>
      </w:r>
      <w:r>
        <w:t xml:space="preserve"> </w:t>
      </w:r>
      <w:r>
        <w:t xml:space="preserve">Tacking</w:t>
      </w:r>
      <w:r>
        <w:t xml:space="preserve"> </w:t>
      </w:r>
      <w:r>
        <w:t xml:space="preserve">“however, it is important to</w:t>
      </w:r>
      <w:r>
        <w:t xml:space="preserve"> </w:t>
      </w:r>
      <w:r>
        <w:t xml:space="preserve">consider the other side”</w:t>
      </w:r>
      <w:r>
        <w:t xml:space="preserve"> </w:t>
      </w:r>
      <w:r>
        <w:t xml:space="preserve">onto every claim signals caution without adding</w:t>
      </w:r>
      <w:r>
        <w:t xml:space="preserve"> </w:t>
      </w:r>
      <w:r>
        <w:t xml:space="preserve">content. Hedge when the evidence is genuinely mixed, not by habit.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Vague universals.</w:t>
      </w:r>
      <w:r>
        <w:t xml:space="preserve"> </w:t>
      </w:r>
      <w:r>
        <w:t xml:space="preserve">“Studies show”</w:t>
      </w:r>
      <w:r>
        <w:t xml:space="preserve"> </w:t>
      </w:r>
      <w:r>
        <w:t xml:space="preserve">and</w:t>
      </w:r>
      <w:r>
        <w:t xml:space="preserve"> </w:t>
      </w:r>
      <w:r>
        <w:t xml:space="preserve">“experts agree”</w:t>
      </w:r>
      <w:r>
        <w:t xml:space="preserve">, with no specific</w:t>
      </w:r>
      <w:r>
        <w:t xml:space="preserve"> </w:t>
      </w:r>
      <w:r>
        <w:t xml:space="preserve">source or number, are tells precisely because they dodge the evidence. Name</w:t>
      </w:r>
      <w:r>
        <w:t xml:space="preserve"> </w:t>
      </w:r>
      <w:r>
        <w:t xml:space="preserve">the study and give the number, as the</w:t>
      </w:r>
      <w:r>
        <w:t xml:space="preserve"> </w:t>
      </w:r>
      <w:hyperlink r:id="rId18">
        <w:r>
          <w:rPr>
            <w:rStyle w:val="Hyperlink"/>
          </w:rPr>
          <w:t xml:space="preserve">Citations and evidence</w:t>
        </w:r>
      </w:hyperlink>
      <w:r>
        <w:t xml:space="preserve"> </w:t>
      </w:r>
      <w:r>
        <w:t xml:space="preserve">chapter recommends.</w:t>
      </w:r>
    </w:p>
    <w:p>
      <w:pPr>
        <w:pStyle w:val="FirstParagraph"/>
      </w:pPr>
      <w:r>
        <w:t xml:space="preserve">A short scan for these patterns before you submit a draft</w:t>
      </w:r>
      <w:r>
        <w:t xml:space="preserve"> </w:t>
      </w:r>
      <w:r>
        <w:t xml:space="preserve">catches most of them.</w:t>
      </w:r>
      <w:r>
        <w:t xml:space="preserve"> </w:t>
      </w:r>
      <w:r>
        <w:t xml:space="preserve">Cut the filler and the reflexes,</w:t>
      </w:r>
      <w:r>
        <w:t xml:space="preserve"> </w:t>
      </w:r>
      <w:r>
        <w:t xml:space="preserve">but keep your own voice:</w:t>
      </w:r>
      <w:r>
        <w:t xml:space="preserve"> </w:t>
      </w:r>
      <w:r>
        <w:t xml:space="preserve">the goal is clear, honest prose,</w:t>
      </w:r>
      <w:r>
        <w:t xml:space="preserve"> </w:t>
      </w:r>
      <w:r>
        <w:t xml:space="preserve">not prose that has been sanded smooth.</w:t>
      </w:r>
    </w:p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8" Target="citations-evidence.qmd" TargetMode="External" /><Relationship Type="http://schemas.openxmlformats.org/officeDocument/2006/relationships/hyperlink" Id="rId12" Target="word-choic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citations-evidence.qmd" TargetMode="External" /><Relationship Type="http://schemas.openxmlformats.org/officeDocument/2006/relationships/hyperlink" Id="rId12" Target="word-choic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Avoiding AI tells</dc:title>
  <dc:creator/>
  <cp:keywords/>
  <dcterms:created xsi:type="dcterms:W3CDTF">2026-06-22T06:26:21Z</dcterms:created>
  <dcterms:modified xsi:type="dcterms:W3CDTF">2026-06-22T06:26:21Z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