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Demo: Loading Macros via include shortcode</w:t>
      </w:r>
    </w:p>
    <w:p>
      <w:pPr>
        <w:pStyle w:val="FirstParagraph"/>
      </w:pPr>
      <w:r>
        <w:t xml:space="preserve">This page demonstrates the</w:t>
      </w:r>
      <w:r>
        <w:t xml:space="preserve"> </w:t>
      </w:r>
      <w:hyperlink r:id="rId9">
        <w:r>
          <w:rPr>
            <w:rStyle w:val="VerbatimChar"/>
          </w:rPr>
          <w:t xml:space="preserve">include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shortcode</w:t>
        </w:r>
      </w:hyperlink>
      <w:r>
        <w:t xml:space="preserve"> </w:t>
      </w:r>
      <w:r>
        <w:t xml:space="preserve">strategy for loading macros into a Quarto document.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{{&lt; include macros.qmd &gt;}}</w:t>
      </w:r>
      <w:r>
        <w:t xml:space="preserve"> </w:t>
      </w:r>
      <w:r>
        <w:t xml:space="preserve">shortcode at the top of this file embeds the entire contents of</w:t>
      </w:r>
      <w:r>
        <w:t xml:space="preserve"> </w:t>
      </w:r>
      <w:r>
        <w:rPr>
          <w:rStyle w:val="VerbatimChar"/>
        </w:rPr>
        <w:t xml:space="preserve">macros.qmd</w:t>
      </w:r>
      <w:r>
        <w:t xml:space="preserve"> </w:t>
      </w:r>
      <w:r>
        <w:t xml:space="preserve">inline at that point. Since</w:t>
      </w:r>
      <w:r>
        <w:t xml:space="preserve"> </w:t>
      </w:r>
      <w:r>
        <w:rPr>
          <w:rStyle w:val="VerbatimChar"/>
        </w:rPr>
        <w:t xml:space="preserve">macros.qmd</w:t>
      </w:r>
      <w:r>
        <w:t xml:space="preserve"> </w:t>
      </w:r>
      <w:r>
        <w:t xml:space="preserve">contains only raw LaTeX macro definitions (</w:t>
      </w:r>
      <w:r>
        <w:rPr>
          <w:rStyle w:val="VerbatimChar"/>
        </w:rPr>
        <w:t xml:space="preserve">\def</w:t>
      </w:r>
      <w:r>
        <w:t xml:space="preserve">,</w:t>
      </w:r>
      <w:r>
        <w:t xml:space="preserve"> </w:t>
      </w:r>
      <w:r>
        <w:rPr>
          <w:rStyle w:val="VerbatimChar"/>
        </w:rPr>
        <w:t xml:space="preserve">\providecommand</w:t>
      </w:r>
      <w:r>
        <w:t xml:space="preserve">, etc.), Quarto passes them through as raw LaTeX for PDF output (where they are processed inline in the document body as LaTeX commands) and as math for HTML/RevealJS output (where they are processed by MathJax).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This demo uses</w:t>
      </w:r>
      <w:r>
        <w:t xml:space="preserve"> </w:t>
      </w:r>
      <w:r>
        <w:rPr>
          <w:rStyle w:val="VerbatimChar"/>
        </w:rPr>
        <w:t xml:space="preserve">macros.qmd</w:t>
      </w:r>
      <w:r>
        <w:t xml:space="preserve"> </w:t>
      </w:r>
      <w:r>
        <w:t xml:space="preserve">directly (same directory). When using this repository as a submodule, use</w:t>
      </w:r>
      <w:r>
        <w:t xml:space="preserve"> </w:t>
      </w:r>
      <w:r>
        <w:rPr>
          <w:rStyle w:val="VerbatimChar"/>
        </w:rPr>
        <w:t xml:space="preserve">macros/macros.qmd</w:t>
      </w:r>
      <w:r>
        <w:t xml:space="preserve"> </w:t>
      </w:r>
      <w:r>
        <w:t xml:space="preserve">instead.</w:t>
      </w:r>
    </w:p>
    <w:bookmarkStart w:id="10" w:name="example-math"/>
    <w:p>
      <w:pPr>
        <w:pStyle w:val="Heading2"/>
      </w:pPr>
      <w:r>
        <w:t xml:space="preserve">Example math</w:t>
      </w:r>
    </w:p>
    <w:p>
      <w:pPr>
        <w:pStyle w:val="FirstParagraph"/>
      </w:pPr>
      <w:r>
        <w:t xml:space="preserve">The table below uses macros defined with</w:t>
      </w:r>
      <w:r>
        <w:t xml:space="preserve"> </w:t>
      </w:r>
      <w:r>
        <w:rPr>
          <w:rStyle w:val="VerbatimChar"/>
        </w:rPr>
        <w:t xml:space="preserve">\def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macros.qmd</w:t>
      </w:r>
      <w:r>
        <w:t xml:space="preserve">. These macros work across all output formats: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Greek: alpha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$\a$</w:t>
            </w:r>
          </w:p>
        </w:tc>
        <w:tc>
          <w:tcPr/>
          <w:p>
            <w:pPr>
              <w:pStyle w:val="Compact"/>
            </w:pPr>
            <m:oMath>
              <m:r>
                <m:t>α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Greek: beta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$\b$</w:t>
            </w:r>
          </w:p>
        </w:tc>
        <w:tc>
          <w:tcPr/>
          <w:p>
            <w:pPr>
              <w:pStyle w:val="Compact"/>
            </w:pPr>
            <m:oMath>
              <m:r>
                <m:t>β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Greek: gamma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$\g$</w:t>
            </w:r>
          </w:p>
        </w:tc>
        <w:tc>
          <w:tcPr/>
          <w:p>
            <w:pPr>
              <w:pStyle w:val="Compact"/>
            </w:pPr>
            <m:oMath>
              <m:r>
                <m:t>γ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Greek: lambda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$\l$</w:t>
            </w:r>
          </w:p>
        </w:tc>
        <w:tc>
          <w:tcPr/>
          <w:p>
            <w:pPr>
              <w:pStyle w:val="Compact"/>
            </w:pPr>
            <m:oMath>
              <m:r>
                <m:t>λ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Greek: sigma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$\s$</w:t>
            </w:r>
          </w:p>
        </w:tc>
        <w:tc>
          <w:tcPr/>
          <w:p>
            <w:pPr>
              <w:pStyle w:val="Compact"/>
            </w:pPr>
            <m:oMath>
              <m:r>
                <m:t>σ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Log-likelihood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$\llik$</w:t>
            </w:r>
          </w:p>
        </w:tc>
        <w:tc>
          <w:tcPr/>
          <w:p>
            <w:pPr>
              <w:pStyle w:val="Compact"/>
            </w:pPr>
            <m:oMath>
              <m:r>
                <m:t>ℓ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Independent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$X \ind Y$</w:t>
            </w:r>
          </w:p>
        </w:tc>
        <w:tc>
          <w:tcPr/>
          <w:p>
            <w:pPr>
              <w:pStyle w:val="Compact"/>
            </w:pPr>
            <m:oMath>
              <m:r>
                <m:t>X</m:t>
              </m:r>
              <m:r>
                <m:rPr>
                  <m:sty m:val="p"/>
                </m:rPr>
                <m:t>⟂</m:t>
              </m:r>
              <m:r>
                <m:t>​</m:t>
              </m:r>
              <m:r>
                <m:t>​</m:t>
              </m:r>
              <m:r>
                <m:t>​</m:t>
              </m:r>
              <m:r>
                <m:rPr>
                  <m:sty m:val="p"/>
                </m:rPr>
                <m:t>⟂</m:t>
              </m:r>
              <m:r>
                <m:t>Y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IID distributed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$X_i \siid \Normal(\m, \ss)$</w:t>
            </w:r>
          </w:p>
        </w:tc>
        <w:tc>
          <w:tcPr/>
          <w:p>
            <w:pPr>
              <w:pStyle w:val="Compact"/>
            </w:pPr>
            <m:oMath>
              <m:sSub>
                <m:e>
                  <m:r>
                    <m:t>X</m:t>
                  </m:r>
                </m:e>
                <m:sub>
                  <m:r>
                    <m:t>i</m:t>
                  </m:r>
                </m:sub>
              </m:sSub>
              <m:r>
                <m:t> </m:t>
              </m:r>
              <m:sSub>
                <m:e>
                  <m:r>
                    <m:rPr>
                      <m:sty m:val="p"/>
                    </m:rPr>
                    <m:t>∼</m:t>
                  </m:r>
                </m:e>
                <m:sub>
                  <m:r>
                    <m:rPr>
                      <m:sty m:val="p"/>
                    </m:rPr>
                    <m:t>iid</m:t>
                  </m:r>
                </m:sub>
              </m:sSub>
              <m:r>
                <m:t> </m:t>
              </m:r>
              <m:r>
                <m:rPr>
                  <m:sty m:val="p"/>
                </m:rPr>
                <m:t>N</m:t>
              </m:r>
              <m:r>
                <m:rPr>
                  <m:sty m:val="p"/>
                </m:rPr>
                <m:t>(</m:t>
              </m:r>
              <m:r>
                <m:t>μ</m:t>
              </m:r>
              <m:r>
                <m:rPr>
                  <m:sty m:val="p"/>
                </m:rPr>
                <m:t>,</m:t>
              </m:r>
              <m:sSup>
                <m:e>
                  <m:r>
                    <m:t>σ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)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Vector: mu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$\vm$</w:t>
            </w:r>
          </w:p>
        </w:tc>
        <w:tc>
          <w:tcPr/>
          <w:p>
            <w:pPr>
              <w:pStyle w:val="Compact"/>
            </w:pPr>
            <m:oMath>
              <m:acc>
                <m:accPr>
                  <m:chr m:val="̃"/>
                </m:accPr>
                <m:e>
                  <m:r>
                    <m:t>μ</m:t>
                  </m:r>
                </m:e>
              </m:acc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Hat beta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$\hb$</w:t>
            </w:r>
          </w:p>
        </w:tc>
        <w:tc>
          <w:tcPr/>
          <w:p>
            <w:pPr>
              <w:pStyle w:val="Compact"/>
            </w:pPr>
            <m:oMath>
              <m:acc>
                <m:accPr>
                  <m:chr m:val="̂"/>
                </m:accPr>
                <m:e>
                  <m:r>
                    <m:t>β</m:t>
                  </m:r>
                </m:e>
              </m:acc>
            </m:oMath>
            <w:r>
              <w:t xml:space="preserve">​</w:t>
            </w:r>
          </w:p>
        </w:tc>
      </w:tr>
    </w:tbl>
    <w:bookmarkEnd w:id="10"/>
    <w:bookmarkStart w:id="12" w:name="color-macros"/>
    <w:p>
      <w:pPr>
        <w:pStyle w:val="Heading2"/>
      </w:pPr>
      <w:r>
        <w:t xml:space="preserve">Color macros</w:t>
      </w:r>
    </w:p>
    <w:p>
      <w:pPr>
        <w:pStyle w:val="FirstParagraph"/>
      </w:pPr>
      <w:r>
        <w:rPr>
          <w:rStyle w:val="VerbatimChar"/>
        </w:rPr>
        <w:t xml:space="preserve">macros.qmd</w:t>
      </w:r>
      <w:r>
        <w:t xml:space="preserve"> </w:t>
      </w:r>
      <w:r>
        <w:t xml:space="preserve">defines a one-argument macro for each of the 19</w:t>
      </w:r>
      <w:r>
        <w:t xml:space="preserve"> </w:t>
      </w:r>
      <w:hyperlink r:id="rId11">
        <w:r>
          <w:rPr>
            <w:rStyle w:val="Hyperlink"/>
          </w:rPr>
          <w:t xml:space="preserve">LaTeX base colors</w:t>
        </w:r>
      </w:hyperlink>
      <w:r>
        <w:t xml:space="preserve"> </w:t>
      </w:r>
      <w:r>
        <w:t xml:space="preserve">(</w:t>
      </w:r>
      <w:r>
        <w:rPr>
          <w:rStyle w:val="VerbatimChar"/>
        </w:rPr>
        <w:t xml:space="preserve">\red</w:t>
      </w:r>
      <w:r>
        <w:t xml:space="preserve">,</w:t>
      </w:r>
      <w:r>
        <w:t xml:space="preserve"> </w:t>
      </w:r>
      <w:r>
        <w:rPr>
          <w:rStyle w:val="VerbatimChar"/>
        </w:rPr>
        <w:t xml:space="preserve">\blue</w:t>
      </w:r>
      <w:r>
        <w:t xml:space="preserve">,</w:t>
      </w:r>
      <w:r>
        <w:t xml:space="preserve"> </w:t>
      </w:r>
      <w:r>
        <w:rPr>
          <w:rStyle w:val="VerbatimChar"/>
        </w:rPr>
        <w:t xml:space="preserve">\green</w:t>
      </w:r>
      <w:r>
        <w:t xml:space="preserve">,</w:t>
      </w:r>
      <w:r>
        <w:t xml:space="preserve"> </w:t>
      </w:r>
      <w:r>
        <w:rPr>
          <w:rStyle w:val="VerbatimChar"/>
        </w:rPr>
        <w:t xml:space="preserve">\orange</w:t>
      </w:r>
      <w:r>
        <w:t xml:space="preserve">, …), using the</w:t>
      </w:r>
      <w:r>
        <w:t xml:space="preserve"> </w:t>
      </w:r>
      <w:r>
        <w:rPr>
          <w:rStyle w:val="VerbatimChar"/>
        </w:rPr>
        <w:t xml:space="preserve">\color</w:t>
      </w:r>
      <w:r>
        <w:t xml:space="preserve"> </w:t>
      </w:r>
      <w:r>
        <w:t xml:space="preserve">switch form (</w:t>
      </w:r>
      <w:r>
        <w:rPr>
          <w:rStyle w:val="VerbatimChar"/>
        </w:rPr>
        <w:t xml:space="preserve">{\color{red}{#1}}</w:t>
      </w:r>
      <w:r>
        <w:t xml:space="preserve">), which is supported by MathJax (HTML/RevealJS), lualatex (PDF), and pandoc’s texmath parser (docx):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$\red{x}$</w:t>
            </w:r>
          </w:p>
        </w:tc>
        <w:tc>
          <w:tcPr/>
          <w:p>
            <w:pPr>
              <w:pStyle w:val="Compact"/>
            </w:pPr>
            <m:oMath>
              <m:r>
                <m:t>x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Blue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$\blue{y}$</w:t>
            </w:r>
          </w:p>
        </w:tc>
        <w:tc>
          <w:tcPr/>
          <w:p>
            <w:pPr>
              <w:pStyle w:val="Compact"/>
            </w:pPr>
            <m:oMath>
              <m:r>
                <m:t>y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Green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$\green{z}$</w:t>
            </w:r>
          </w:p>
        </w:tc>
        <w:tc>
          <w:tcPr/>
          <w:p>
            <w:pPr>
              <w:pStyle w:val="Compact"/>
            </w:pPr>
            <m:oMath>
              <m:r>
                <m:t>z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Orange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$\orange{\mu}$</w:t>
            </w:r>
          </w:p>
        </w:tc>
        <w:tc>
          <w:tcPr/>
          <w:p>
            <w:pPr>
              <w:pStyle w:val="Compact"/>
            </w:pPr>
            <m:oMath>
              <m:r>
                <m:t>μ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Combined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$\red{x} + \blue{y} = \green{z}$</w:t>
            </w:r>
          </w:p>
        </w:tc>
        <w:tc>
          <w:tcPr/>
          <w:p>
            <w:pPr>
              <w:pStyle w:val="Compact"/>
            </w:pPr>
            <m:oMath>
              <m:r>
                <m:t>x</m:t>
              </m:r>
              <m:r>
                <m:rPr>
                  <m:sty m:val="p"/>
                </m:rPr>
                <m:t>+</m:t>
              </m:r>
              <m:r>
                <m:t>y</m:t>
              </m:r>
              <m:r>
                <m:rPr>
                  <m:sty m:val="p"/>
                </m:rPr>
                <m:t>=</m:t>
              </m:r>
              <m:r>
                <m:t>z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Nested macros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$X_i \sim_{\red{\ind}} \blue{\Normal}(\orange{\mu_i}, \green{\ss})$</w:t>
            </w:r>
          </w:p>
        </w:tc>
        <w:tc>
          <w:tcPr/>
          <w:p>
            <w:pPr>
              <w:pStyle w:val="Compact"/>
            </w:pPr>
            <m:oMath>
              <m:sSub>
                <m:e>
                  <m:r>
                    <m:t>X</m:t>
                  </m:r>
                </m:e>
                <m:sub>
                  <m:r>
                    <m:t>i</m:t>
                  </m:r>
                </m:sub>
              </m:sSub>
              <m:sSub>
                <m:e>
                  <m:r>
                    <m:rPr>
                      <m:sty m:val="p"/>
                    </m:rPr>
                    <m:t>∼</m:t>
                  </m:r>
                </m:e>
                <m:sub>
                  <m:r>
                    <m:rPr>
                      <m:sty m:val="p"/>
                    </m:rPr>
                    <m:t>⟂</m:t>
                  </m:r>
                  <m:r>
                    <m:t>​</m:t>
                  </m:r>
                  <m:r>
                    <m:t>​</m:t>
                  </m:r>
                  <m:r>
                    <m:t>​</m:t>
                  </m:r>
                  <m:r>
                    <m:rPr>
                      <m:sty m:val="p"/>
                    </m:rPr>
                    <m:t>⟂</m:t>
                  </m:r>
                </m:sub>
              </m:sSub>
              <m:r>
                <m:rPr>
                  <m:sty m:val="p"/>
                </m:rPr>
                <m:t>N</m:t>
              </m:r>
              <m:r>
                <m:rPr>
                  <m:sty m:val="p"/>
                </m:rPr>
                <m:t>(</m:t>
              </m:r>
              <m:sSub>
                <m:e>
                  <m:r>
                    <m:t>μ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,</m:t>
              </m:r>
              <m:sSup>
                <m:e>
                  <m:r>
                    <m:t>σ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)</m:t>
              </m:r>
            </m:oMath>
            <w:r>
              <w:t xml:space="preserve">​</w:t>
            </w:r>
          </w:p>
        </w:tc>
      </w:tr>
    </w:tbl>
    <w:p>
      <w:pPr>
        <w:pStyle w:val="BlockText"/>
      </w:pPr>
      <w:r>
        <w:rPr>
          <w:b/>
          <w:bCs/>
        </w:rPr>
        <w:t xml:space="preserve">Note (docx):</w:t>
      </w:r>
      <w:r>
        <w:t xml:space="preserve"> </w:t>
      </w:r>
      <w:r>
        <w:t xml:space="preserve">pandoc converts these equations to native Word math without warnings, but its docx writer drops the color styling, so in Word the equations render correctly in the default text color.</w:t>
      </w:r>
    </w:p>
    <w:bookmarkEnd w:id="12"/>
    <w:bookmarkStart w:id="15" w:name="Xd259f2be60516b3848ff2c8d335afa6dfd39396"/>
    <w:p>
      <w:pPr>
        <w:pStyle w:val="Heading2"/>
      </w:pPr>
      <w:r>
        <w:rPr>
          <w:rStyle w:val="VerbatimChar"/>
        </w:rPr>
        <w:t xml:space="preserve">\providecommand</w:t>
      </w:r>
      <w:r>
        <w:t xml:space="preserve"> </w:t>
      </w:r>
      <w:r>
        <w:t xml:space="preserve">behavior in this shortcode demo</w:t>
      </w:r>
    </w:p>
    <w:p>
      <w:pPr>
        <w:pStyle w:val="FirstParagraph"/>
      </w:pPr>
      <w:r>
        <w:t xml:space="preserve">The macro</w:t>
      </w:r>
      <w:r>
        <w:t xml:space="preserve"> </w:t>
      </w:r>
      <w:r>
        <w:rPr>
          <w:rStyle w:val="VerbatimChar"/>
        </w:rPr>
        <w:t xml:space="preserve">\floor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macros.qmd</w:t>
      </w:r>
      <w:r>
        <w:t xml:space="preserve"> </w:t>
      </w:r>
      <w:r>
        <w:t xml:space="preserve">is defined with</w:t>
      </w:r>
      <w:r>
        <w:t xml:space="preserve"> </w:t>
      </w:r>
      <w:r>
        <w:rPr>
          <w:rStyle w:val="VerbatimChar"/>
        </w:rPr>
        <w:t xml:space="preserve">\providecommand</w:t>
      </w:r>
      <w:r>
        <w:t xml:space="preserve">. Compare this with a</w:t>
      </w:r>
      <w:r>
        <w:t xml:space="preserve"> </w:t>
      </w:r>
      <w:r>
        <w:rPr>
          <w:rStyle w:val="VerbatimChar"/>
        </w:rPr>
        <w:t xml:space="preserve">\def</w:t>
      </w:r>
      <w:r>
        <w:t xml:space="preserve"> </w:t>
      </w:r>
      <w:r>
        <w:t xml:space="preserve">macro: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Macro type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\providecommand</w:t>
            </w:r>
            <w:r>
              <w:t xml:space="preserve"> </w:t>
            </w:r>
            <w:r>
              <w:t xml:space="preserve">macro (</w:t>
            </w:r>
            <w:r>
              <w:rPr>
                <w:rStyle w:val="VerbatimChar"/>
              </w:rPr>
              <w:t xml:space="preserve">\floor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$\floor{1.2}$</w:t>
            </w:r>
          </w:p>
        </w:tc>
        <w:tc>
          <w:tcPr/>
          <w:p>
            <w:pPr>
              <w:pStyle w:val="Compact"/>
            </w:pPr>
            <m:oMath>
              <m:r>
                <m:t>​</m:t>
              </m:r>
              <m:d>
                <m:dPr>
                  <m:begChr m:val="⌊"/>
                  <m:sepChr m:val=""/>
                  <m:endChr m:val="⌋"/>
                  <m:grow/>
                </m:dPr>
                <m:e>
                  <m:r>
                    <m:t>1.2</m:t>
                  </m:r>
                </m:e>
              </m:d>
              <m:r>
                <m:t>​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\def</w:t>
            </w:r>
            <w:r>
              <w:t xml:space="preserve"> </w:t>
            </w:r>
            <w:r>
              <w:t xml:space="preserve">macro (</w:t>
            </w:r>
            <w:r>
              <w:rPr>
                <w:rStyle w:val="VerbatimChar"/>
              </w:rPr>
              <w:t xml:space="preserve">\a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$\a$</w:t>
            </w:r>
          </w:p>
        </w:tc>
        <w:tc>
          <w:tcPr/>
          <w:p>
            <w:pPr>
              <w:pStyle w:val="Compact"/>
            </w:pPr>
            <m:oMath>
              <m:r>
                <m:t>α</m:t>
              </m:r>
            </m:oMath>
            <w:r>
              <w:t xml:space="preserve">​</w:t>
            </w:r>
          </w:p>
        </w:tc>
      </w:tr>
    </w:tbl>
    <w:p>
      <w:pPr>
        <w:pStyle w:val="BodyText"/>
      </w:pPr>
      <w:r>
        <w:t xml:space="preserve">In this shortcode demo, both macros render in HTML/RevealJS. So in this setup,</w:t>
      </w:r>
      <w:r>
        <w:t xml:space="preserve"> </w:t>
      </w:r>
      <w:r>
        <w:rPr>
          <w:rStyle w:val="VerbatimChar"/>
        </w:rPr>
        <w:t xml:space="preserve">\providecommand</w:t>
      </w:r>
      <w:r>
        <w:t xml:space="preserve"> </w:t>
      </w:r>
      <w:r>
        <w:t xml:space="preserve">from the included source is being handled correctly.</w:t>
      </w:r>
    </w:p>
    <w:p>
      <w:pPr>
        <w:pStyle w:val="BlockText"/>
      </w:pPr>
      <w:r>
        <w:rPr>
          <w:b/>
          <w:bCs/>
        </w:rPr>
        <w:t xml:space="preserve">Note (RevealJS blank slide):</w:t>
      </w:r>
      <w:r>
        <w:t xml:space="preserve"> </w:t>
      </w:r>
      <w:r>
        <w:t xml:space="preserve">Content placed before the first</w:t>
      </w:r>
      <w:r>
        <w:t xml:space="preserve"> </w:t>
      </w:r>
      <w:r>
        <w:rPr>
          <w:rStyle w:val="VerbatimChar"/>
        </w:rPr>
        <w:t xml:space="preserve">##</w:t>
      </w:r>
      <w:r>
        <w:t xml:space="preserve"> </w:t>
      </w:r>
      <w:r>
        <w:t xml:space="preserve">heading in RevealJS output becomes a blank title slide. Since the include shortcode is at the top of this file, RevealJS may show a blank slide before the first section. This is a</w:t>
      </w:r>
      <w:r>
        <w:t xml:space="preserve"> </w:t>
      </w:r>
      <w:hyperlink r:id="rId13">
        <w:r>
          <w:rPr>
            <w:rStyle w:val="Hyperlink"/>
          </w:rPr>
          <w:t xml:space="preserve">known limitation</w:t>
        </w:r>
      </w:hyperlink>
      <w:r>
        <w:t xml:space="preserve"> </w:t>
      </w:r>
      <w:r>
        <w:t xml:space="preserve">of the shortcode approach for RevealJS. For RevealJS without a blank slide, use the</w:t>
      </w:r>
      <w:r>
        <w:t xml:space="preserve"> </w:t>
      </w:r>
      <w:hyperlink r:id="rId14">
        <w:r>
          <w:rPr>
            <w:rStyle w:val="VerbatimChar"/>
          </w:rPr>
          <w:t xml:space="preserve">include-in-header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strategy</w:t>
        </w:r>
      </w:hyperlink>
      <w:r>
        <w:t xml:space="preserve"> </w:t>
      </w:r>
      <w:r>
        <w:t xml:space="preserve">instead.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demo-include-in-header.qmd" TargetMode="External" /><Relationship Type="http://schemas.openxmlformats.org/officeDocument/2006/relationships/hyperlink" Id="rId11" Target="https://en.wikibooks.org/wiki/LaTeX/Colors#Predefined_colors" TargetMode="External" /><Relationship Type="http://schemas.openxmlformats.org/officeDocument/2006/relationships/hyperlink" Id="rId13" Target="https://github.com/orgs/quarto-dev/discussions/8376" TargetMode="External" /><Relationship Type="http://schemas.openxmlformats.org/officeDocument/2006/relationships/hyperlink" Id="rId9" Target="https://quarto.org/docs/authoring/includes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demo-include-in-header.qmd" TargetMode="External" /><Relationship Type="http://schemas.openxmlformats.org/officeDocument/2006/relationships/hyperlink" Id="rId11" Target="https://en.wikibooks.org/wiki/LaTeX/Colors#Predefined_colors" TargetMode="External" /><Relationship Type="http://schemas.openxmlformats.org/officeDocument/2006/relationships/hyperlink" Id="rId13" Target="https://github.com/orgs/quarto-dev/discussions/8376" TargetMode="External" /><Relationship Type="http://schemas.openxmlformats.org/officeDocument/2006/relationships/hyperlink" Id="rId9" Target="https://quarto.org/docs/authoring/includes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Demo: Loading Macros via include shortcode</dc:title>
  <dc:creator/>
  <cp:keywords/>
  <dcterms:created xsi:type="dcterms:W3CDTF">2026-08-24T17:02:47Z</dcterms:created>
  <dcterms:modified xsi:type="dcterms:W3CDTF">2026-08-24T17:02:47Z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header-includes">
    <vt:lpwstr/>
  </property>
  <property fmtid="{D5CDD505-2E9C-101B-9397-08002B2CF9AE}" pid="4" name="include-after">
    <vt:lpwstr/>
  </property>
  <property fmtid="{D5CDD505-2E9C-101B-9397-08002B2CF9AE}" pid="5" name="include-before">
    <vt:lpwstr/>
  </property>
  <property fmtid="{D5CDD505-2E9C-101B-9397-08002B2CF9AE}" pid="6" name="labels">
    <vt:lpwstr/>
  </property>
  <property fmtid="{D5CDD505-2E9C-101B-9397-08002B2CF9AE}" pid="7" name="toc-title">
    <vt:lpwstr>Table of contents</vt:lpwstr>
  </property>
</Properties>
</file>