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Demo: Loading Macros via</w:t>
      </w:r>
      <w:r>
        <w:t xml:space="preserve"> </w:t>
      </w:r>
      <w:r>
        <w:rPr>
          <w:rStyle w:val="VerbatimChar"/>
        </w:rPr>
        <w:t xml:space="preserve">include-in-header</w:t>
      </w:r>
    </w:p>
    <w:p>
      <w:pPr>
        <w:pStyle w:val="FirstParagraph"/>
      </w:pPr>
      <w:r>
        <w:t xml:space="preserve">This page demonstrates the</w:t>
      </w:r>
      <w:r>
        <w:t xml:space="preserve"> </w:t>
      </w:r>
      <w:r>
        <w:rPr>
          <w:rStyle w:val="VerbatimChar"/>
        </w:rPr>
        <w:t xml:space="preserve">include-in-header</w:t>
      </w:r>
      <w:r>
        <w:t xml:space="preserve"> </w:t>
      </w:r>
      <w:r>
        <w:t xml:space="preserve">strategy for loading macros. The YAML front matter of this file includes: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include-in-header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macros-header.html</w:t>
      </w:r>
      <w:r>
        <w:rPr>
          <w:rStyle w:val="CommentTok"/>
        </w:rPr>
        <w:t xml:space="preserve">   # MathJax macro config script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include-in-header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macros.qmd</w:t>
      </w:r>
      <w:r>
        <w:rPr>
          <w:rStyle w:val="CommentTok"/>
        </w:rPr>
        <w:t xml:space="preserve">           # raw LaTeX goes directly into preamble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demo-include-in-header-slides.html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scrollable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center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include-in-header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macros-header.html</w:t>
      </w:r>
      <w:r>
        <w:rPr>
          <w:rStyle w:val="CommentTok"/>
        </w:rPr>
        <w:t xml:space="preserve">   # loader that reads macros.qmd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docx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BlockText"/>
      </w:pPr>
      <w:r>
        <w:rPr>
          <w:b/>
          <w:bCs/>
        </w:rPr>
        <w:t xml:space="preserve">Note (HTML/RevealJS):</w:t>
      </w:r>
      <w:r>
        <w:t xml:space="preserve"> </w:t>
      </w:r>
      <w:r>
        <w:rPr>
          <w:rStyle w:val="VerbatimChar"/>
        </w:rPr>
        <w:t xml:space="preserve">macros-header.html</w:t>
      </w:r>
      <w:r>
        <w:t xml:space="preserve"> </w:t>
      </w:r>
      <w:r>
        <w:t xml:space="preserve">is a small loader script (not a second macro-definition file). It reads</w:t>
      </w:r>
      <w:r>
        <w:t xml:space="preserve"> </w:t>
      </w:r>
      <w:r>
        <w:rPr>
          <w:rStyle w:val="VerbatimChar"/>
        </w:rPr>
        <w:t xml:space="preserve">macros.qmd</w:t>
      </w:r>
      <w:r>
        <w:t xml:space="preserve">, converts macro definitions to a MathJax config object, and sets</w:t>
      </w:r>
      <w:r>
        <w:t xml:space="preserve"> </w:t>
      </w:r>
      <w:r>
        <w:rPr>
          <w:rStyle w:val="VerbatimChar"/>
        </w:rPr>
        <w:t xml:space="preserve">MathJax.tex.macros</w:t>
      </w:r>
      <w:r>
        <w:t xml:space="preserve"> </w:t>
      </w:r>
      <w:r>
        <w:t xml:space="preserve">before typesetting. For RevealJS, it also forces the built-in Reveal math plugin to use MathJax 3. This requires</w:t>
      </w:r>
      <w:r>
        <w:t xml:space="preserve"> </w:t>
      </w:r>
      <w:r>
        <w:rPr>
          <w:rStyle w:val="VerbatimChar"/>
        </w:rPr>
        <w:t xml:space="preserve">macros.qmd</w:t>
      </w:r>
      <w:r>
        <w:t xml:space="preserve"> </w:t>
      </w:r>
      <w:r>
        <w:t xml:space="preserve">to be published as a static resource in the site output.</w:t>
      </w:r>
      <w:r>
        <w:t xml:space="preserve"> </w:t>
      </w:r>
      <w:hyperlink r:id="rId9">
        <w:r>
          <w:rPr>
            <w:rStyle w:val="Hyperlink"/>
          </w:rPr>
          <w:t xml:space="preserve">View the RevealJS slides output</w:t>
        </w:r>
      </w:hyperlink>
      <w:r>
        <w:t xml:space="preserve">.</w:t>
      </w:r>
    </w:p>
    <w:p>
      <w:pPr>
        <w:pStyle w:val="BlockText"/>
      </w:pPr>
      <w:r>
        <w:rPr>
          <w:b/>
          <w:bCs/>
        </w:rPr>
        <w:t xml:space="preserve">Note (PDF):</w:t>
      </w:r>
      <w:r>
        <w:t xml:space="preserve"> </w:t>
      </w:r>
      <w:r>
        <w:t xml:space="preserve">For PDF,</w:t>
      </w:r>
      <w:r>
        <w:t xml:space="preserve"> </w:t>
      </w:r>
      <w:r>
        <w:rPr>
          <w:rStyle w:val="VerbatimChar"/>
        </w:rPr>
        <w:t xml:space="preserve">macros.qmd</w:t>
      </w:r>
      <w:r>
        <w:t xml:space="preserve"> </w:t>
      </w:r>
      <w:r>
        <w:t xml:space="preserve">can be included directly since its raw LaTeX goes into the document preamble.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This demo uses</w:t>
      </w:r>
      <w:r>
        <w:t xml:space="preserve"> </w:t>
      </w:r>
      <w:r>
        <w:rPr>
          <w:rStyle w:val="VerbatimChar"/>
        </w:rPr>
        <w:t xml:space="preserve">macros-header.html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macros.qmd</w:t>
      </w:r>
      <w:r>
        <w:t xml:space="preserve"> </w:t>
      </w:r>
      <w:r>
        <w:t xml:space="preserve">because both files are at the root of this repository. When using this repository as a Git submodule (cloned into a</w:t>
      </w:r>
      <w:r>
        <w:t xml:space="preserve"> </w:t>
      </w:r>
      <w:r>
        <w:rPr>
          <w:rStyle w:val="VerbatimChar"/>
        </w:rPr>
        <w:t xml:space="preserve">macros/</w:t>
      </w:r>
      <w:r>
        <w:t xml:space="preserve"> </w:t>
      </w:r>
      <w:r>
        <w:t xml:space="preserve">subdirectory), replace with</w:t>
      </w:r>
      <w:r>
        <w:t xml:space="preserve"> </w:t>
      </w:r>
      <w:r>
        <w:rPr>
          <w:rStyle w:val="VerbatimChar"/>
        </w:rPr>
        <w:t xml:space="preserve">macros/macros-header.html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macros/macros.qmd</w:t>
      </w:r>
      <w:r>
        <w:t xml:space="preserve">.</w:t>
      </w:r>
    </w:p>
    <w:p>
      <w:pPr>
        <w:pStyle w:val="FirstParagraph"/>
      </w:pPr>
      <w:r>
        <w:t xml:space="preserve">The same configuration can be placed in a shared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to apply project-wide: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include-in-header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macros/macros-header.html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include-in-header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macros/macros.qmd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include-in-header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macros/macros-header.html</w:t>
      </w:r>
    </w:p>
    <w:p>
      <w:pPr>
        <w:pStyle w:val="FirstParagraph"/>
      </w:pPr>
      <w:r>
        <w:t xml:space="preserve">This inserts the macro definitions for each output format: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PDF</w:t>
      </w:r>
      <w:r>
        <w:t xml:space="preserve">:</w:t>
      </w:r>
      <w:r>
        <w:t xml:space="preserve"> </w:t>
      </w:r>
      <w:r>
        <w:rPr>
          <w:rStyle w:val="VerbatimChar"/>
        </w:rPr>
        <w:t xml:space="preserve">macros.qmd</w:t>
      </w:r>
      <w:r>
        <w:t xml:space="preserve"> </w:t>
      </w:r>
      <w:r>
        <w:t xml:space="preserve">goes into the LaTeX preamble via</w:t>
      </w:r>
      <w:r>
        <w:t xml:space="preserve"> </w:t>
      </w:r>
      <w:r>
        <w:rPr>
          <w:rStyle w:val="VerbatimChar"/>
        </w:rPr>
        <w:t xml:space="preserve">include-in-header</w:t>
      </w:r>
      <w:r>
        <w:t xml:space="preserve"> </w:t>
      </w:r>
      <w:r>
        <w:t xml:space="preserve">— all macros work, including</w:t>
      </w:r>
      <w:r>
        <w:t xml:space="preserve"> </w:t>
      </w:r>
      <w:r>
        <w:rPr>
          <w:rStyle w:val="VerbatimChar"/>
        </w:rPr>
        <w:t xml:space="preserve">\providecommand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HTML</w:t>
      </w:r>
      <w:r>
        <w:t xml:space="preserve">:</w:t>
      </w:r>
      <w:r>
        <w:t xml:space="preserve"> </w:t>
      </w:r>
      <w:r>
        <w:rPr>
          <w:rStyle w:val="VerbatimChar"/>
        </w:rPr>
        <w:t xml:space="preserve">macros-header.html</w:t>
      </w:r>
      <w:r>
        <w:t xml:space="preserve"> </w:t>
      </w:r>
      <w:r>
        <w:t xml:space="preserve">is inserted via</w:t>
      </w:r>
      <w:r>
        <w:t xml:space="preserve"> </w:t>
      </w:r>
      <w:r>
        <w:rPr>
          <w:rStyle w:val="VerbatimChar"/>
        </w:rPr>
        <w:t xml:space="preserve">include-in-header</w:t>
      </w:r>
      <w:r>
        <w:t xml:space="preserve"> </w:t>
      </w:r>
      <w:r>
        <w:t xml:space="preserve">and loads macros from</w:t>
      </w:r>
      <w:r>
        <w:t xml:space="preserve"> </w:t>
      </w:r>
      <w:r>
        <w:rPr>
          <w:rStyle w:val="VerbatimChar"/>
        </w:rPr>
        <w:t xml:space="preserve">macros.qmd</w:t>
      </w:r>
      <w:r>
        <w:t xml:space="preserve"> </w:t>
      </w:r>
      <w:r>
        <w:t xml:space="preserve">into</w:t>
      </w:r>
      <w:r>
        <w:t xml:space="preserve"> </w:t>
      </w:r>
      <w:r>
        <w:rPr>
          <w:rStyle w:val="VerbatimChar"/>
        </w:rPr>
        <w:t xml:space="preserve">MathJax.tex.macros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RevealJS</w:t>
      </w:r>
      <w:r>
        <w:t xml:space="preserve">:</w:t>
      </w:r>
      <w:r>
        <w:t xml:space="preserve"> </w:t>
      </w:r>
      <w:r>
        <w:rPr>
          <w:rStyle w:val="VerbatimChar"/>
        </w:rPr>
        <w:t xml:space="preserve">macros-header.html</w:t>
      </w:r>
      <w:r>
        <w:t xml:space="preserve"> </w:t>
      </w:r>
      <w:r>
        <w:t xml:space="preserve">does the same loader step and switches the Reveal math plugin to MathJax 3, so slide math uses the same</w:t>
      </w:r>
      <w:r>
        <w:t xml:space="preserve"> </w:t>
      </w:r>
      <w:r>
        <w:rPr>
          <w:rStyle w:val="VerbatimChar"/>
        </w:rPr>
        <w:t xml:space="preserve">macros.qmd</w:t>
      </w:r>
      <w:r>
        <w:t xml:space="preserve"> </w:t>
      </w:r>
      <w:r>
        <w:t xml:space="preserve">source.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docx</w:t>
      </w:r>
      <w:r>
        <w:t xml:space="preserve">: Word documents do not use a LaTeX preamble or MathJax header, so</w:t>
      </w:r>
      <w:r>
        <w:t xml:space="preserve"> </w:t>
      </w:r>
      <w:r>
        <w:rPr>
          <w:rStyle w:val="VerbatimChar"/>
        </w:rPr>
        <w:t xml:space="preserve">include-in-header</w:t>
      </w:r>
      <w:r>
        <w:t xml:space="preserve"> </w:t>
      </w:r>
      <w:r>
        <w:t xml:space="preserve">has no effect on math rendering for docx. The</w:t>
      </w:r>
      <w:r>
        <w:t xml:space="preserve"> </w:t>
      </w:r>
      <w:r>
        <w:rPr>
          <w:rStyle w:val="VerbatimChar"/>
        </w:rPr>
        <w:t xml:space="preserve">docx: default</w:t>
      </w:r>
      <w:r>
        <w:t xml:space="preserve"> </w:t>
      </w:r>
      <w:r>
        <w:t xml:space="preserve">entry above produces docx output without macro support.</w:t>
      </w:r>
    </w:p>
    <w:bookmarkStart w:id="10" w:name="example-math"/>
    <w:p>
      <w:pPr>
        <w:pStyle w:val="Heading2"/>
      </w:pPr>
      <w:r>
        <w:t xml:space="preserve">Example math</w:t>
      </w:r>
    </w:p>
    <w:p>
      <w:pPr>
        <w:pStyle w:val="FirstParagraph"/>
      </w:pPr>
      <w:r>
        <w:t xml:space="preserve">The table below uses macros defined with</w:t>
      </w:r>
      <w:r>
        <w:t xml:space="preserve"> </w:t>
      </w:r>
      <w:r>
        <w:rPr>
          <w:rStyle w:val="VerbatimChar"/>
        </w:rPr>
        <w:t xml:space="preserve">\def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macros.qmd</w:t>
      </w:r>
      <w:r>
        <w:t xml:space="preserve">, which work in all output formats that support MathJax or LaTeX: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Description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Output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Greek: alpha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\a</w:t>
            </w:r>
          </w:p>
        </w:tc>
        <w:tc>
          <w:tcPr/>
          <w:p>
            <w:pPr>
              <w:pStyle w:val="Compact"/>
            </w:pPr>
            <m:oMath>
              <m:r>
                <m:t>α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Greek: beta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\b</w:t>
            </w:r>
          </w:p>
        </w:tc>
        <w:tc>
          <w:tcPr/>
          <w:p>
            <w:pPr>
              <w:pStyle w:val="Compact"/>
            </w:pPr>
            <m:oMath>
              <m:r>
                <m:t>β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Greek: gamma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\g</w:t>
            </w:r>
          </w:p>
        </w:tc>
        <w:tc>
          <w:tcPr/>
          <w:p>
            <w:pPr>
              <w:pStyle w:val="Compact"/>
            </w:pPr>
            <m:oMath>
              <m:r>
                <m:t>γ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Greek: lambda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\l</w:t>
            </w:r>
          </w:p>
        </w:tc>
        <w:tc>
          <w:tcPr/>
          <w:p>
            <w:pPr>
              <w:pStyle w:val="Compact"/>
            </w:pPr>
            <m:oMath>
              <m:r>
                <m:t>λ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Greek: sigma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\s</w:t>
            </w:r>
          </w:p>
        </w:tc>
        <w:tc>
          <w:tcPr/>
          <w:p>
            <w:pPr>
              <w:pStyle w:val="Compact"/>
            </w:pPr>
            <m:oMath>
              <m:r>
                <m:t>σ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Log-likelihood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\llik</w:t>
            </w:r>
          </w:p>
        </w:tc>
        <w:tc>
          <w:tcPr/>
          <w:p>
            <w:pPr>
              <w:pStyle w:val="Compact"/>
            </w:pPr>
            <m:oMath>
              <m:r>
                <m:t>ℓ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Independent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 \ind Y</w:t>
            </w:r>
          </w:p>
        </w:tc>
        <w:tc>
          <w:tcPr/>
          <w:p>
            <w:pPr>
              <w:pStyle w:val="Compact"/>
            </w:pPr>
            <m:oMath>
              <m:r>
                <m:t>X</m:t>
              </m:r>
              <m:r>
                <m:rPr>
                  <m:sty m:val="p"/>
                </m:rPr>
                <m:t>⟂</m:t>
              </m:r>
              <m:r>
                <m:t>​</m:t>
              </m:r>
              <m:r>
                <m:t>​</m:t>
              </m:r>
              <m:r>
                <m:t>​</m:t>
              </m:r>
              <m:r>
                <m:rPr>
                  <m:sty m:val="p"/>
                </m:rPr>
                <m:t>⟂</m:t>
              </m:r>
              <m:r>
                <m:t>Y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IID distributed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X_i \siid \Normal(\m, \ss)</w:t>
            </w:r>
          </w:p>
        </w:tc>
        <w:tc>
          <w:tcPr/>
          <w:p>
            <w:pPr>
              <w:pStyle w:val="Compact"/>
            </w:pPr>
            <m:oMath>
              <m:sSub>
                <m:e>
                  <m:r>
                    <m:t>X</m:t>
                  </m:r>
                </m:e>
                <m:sub>
                  <m:r>
                    <m:t>i</m:t>
                  </m:r>
                </m:sub>
              </m:sSub>
              <m:r>
                <m:t> </m:t>
              </m:r>
              <m:sSub>
                <m:e>
                  <m:r>
                    <m:rPr>
                      <m:sty m:val="p"/>
                    </m:rPr>
                    <m:t>∼</m:t>
                  </m:r>
                </m:e>
                <m:sub>
                  <m:r>
                    <m:rPr>
                      <m:sty m:val="p"/>
                    </m:rPr>
                    <m:t>iid</m:t>
                  </m:r>
                </m:sub>
              </m:sSub>
              <m:r>
                <m:t> </m:t>
              </m:r>
              <m:r>
                <m:rPr>
                  <m:sty m:val="p"/>
                </m:rPr>
                <m:t>N</m:t>
              </m:r>
              <m:r>
                <m:rPr>
                  <m:sty m:val="p"/>
                </m:rPr>
                <m:t>(</m:t>
              </m:r>
              <m:r>
                <m:t>μ</m:t>
              </m:r>
              <m:r>
                <m:rPr>
                  <m:sty m:val="p"/>
                </m:rPr>
                <m:t>,</m:t>
              </m:r>
              <m:sSup>
                <m:e>
                  <m:r>
                    <m:t>σ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)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Vector: mu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\vm</w:t>
            </w:r>
          </w:p>
        </w:tc>
        <w:tc>
          <w:tcPr/>
          <w:p>
            <w:pPr>
              <w:pStyle w:val="Compact"/>
            </w:pPr>
            <m:oMath>
              <m:acc>
                <m:accPr>
                  <m:chr m:val="̃"/>
                </m:accPr>
                <m:e>
                  <m:r>
                    <m:t>μ</m:t>
                  </m:r>
                </m:e>
              </m:acc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Hat beta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\hb</w:t>
            </w:r>
          </w:p>
        </w:tc>
        <w:tc>
          <w:tcPr/>
          <w:p>
            <w:pPr>
              <w:pStyle w:val="Compact"/>
            </w:pPr>
            <m:oMath>
              <m:acc>
                <m:accPr>
                  <m:chr m:val="̂"/>
                </m:accPr>
                <m:e>
                  <m:r>
                    <m:t>β</m:t>
                  </m:r>
                </m:e>
              </m:acc>
            </m:oMath>
            <w:r>
              <w:t xml:space="preserve">​</w:t>
            </w:r>
          </w:p>
        </w:tc>
      </w:tr>
    </w:tbl>
    <w:bookmarkEnd w:id="10"/>
    <w:bookmarkStart w:id="13" w:name="color-macros"/>
    <w:p>
      <w:pPr>
        <w:pStyle w:val="Heading2"/>
      </w:pPr>
      <w:r>
        <w:t xml:space="preserve">Color macros</w:t>
      </w:r>
    </w:p>
    <w:p>
      <w:pPr>
        <w:pStyle w:val="FirstParagraph"/>
      </w:pPr>
      <w:r>
        <w:rPr>
          <w:rStyle w:val="VerbatimChar"/>
        </w:rPr>
        <w:t xml:space="preserve">macros.qmd</w:t>
      </w:r>
      <w:r>
        <w:t xml:space="preserve"> </w:t>
      </w:r>
      <w:r>
        <w:t xml:space="preserve">defines a one-argument macro for each of the 19</w:t>
      </w:r>
      <w:r>
        <w:t xml:space="preserve"> </w:t>
      </w:r>
      <w:hyperlink r:id="rId11">
        <w:r>
          <w:rPr>
            <w:rStyle w:val="Hyperlink"/>
          </w:rPr>
          <w:t xml:space="preserve">LaTeX base colors</w:t>
        </w:r>
      </w:hyperlink>
      <w:r>
        <w:t xml:space="preserve"> </w:t>
      </w:r>
      <w:r>
        <w:t xml:space="preserve">(</w:t>
      </w:r>
      <w:r>
        <w:rPr>
          <w:rStyle w:val="VerbatimChar"/>
        </w:rPr>
        <w:t xml:space="preserve">\red</w:t>
      </w:r>
      <w:r>
        <w:t xml:space="preserve">,</w:t>
      </w:r>
      <w:r>
        <w:t xml:space="preserve"> </w:t>
      </w:r>
      <w:r>
        <w:rPr>
          <w:rStyle w:val="VerbatimChar"/>
        </w:rPr>
        <w:t xml:space="preserve">\blue</w:t>
      </w:r>
      <w:r>
        <w:t xml:space="preserve">,</w:t>
      </w:r>
      <w:r>
        <w:t xml:space="preserve"> </w:t>
      </w:r>
      <w:r>
        <w:rPr>
          <w:rStyle w:val="VerbatimChar"/>
        </w:rPr>
        <w:t xml:space="preserve">\green</w:t>
      </w:r>
      <w:r>
        <w:t xml:space="preserve">,</w:t>
      </w:r>
      <w:r>
        <w:t xml:space="preserve"> </w:t>
      </w:r>
      <w:r>
        <w:rPr>
          <w:rStyle w:val="VerbatimChar"/>
        </w:rPr>
        <w:t xml:space="preserve">\orange</w:t>
      </w:r>
      <w:r>
        <w:t xml:space="preserve">, …), using the</w:t>
      </w:r>
      <w:r>
        <w:t xml:space="preserve"> </w:t>
      </w:r>
      <w:r>
        <w:rPr>
          <w:rStyle w:val="VerbatimChar"/>
        </w:rPr>
        <w:t xml:space="preserve">\color</w:t>
      </w:r>
      <w:r>
        <w:t xml:space="preserve"> </w:t>
      </w:r>
      <w:r>
        <w:t xml:space="preserve">switch form (</w:t>
      </w:r>
      <w:r>
        <w:rPr>
          <w:rStyle w:val="VerbatimChar"/>
        </w:rPr>
        <w:t xml:space="preserve">{\color{red}{#1}}</w:t>
      </w:r>
      <w:r>
        <w:t xml:space="preserve">), which is supported by MathJax (HTML/RevealJS) and lualatex (PDF):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Description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Output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\red{x}</w:t>
            </w:r>
          </w:p>
        </w:tc>
        <w:tc>
          <w:tcPr/>
          <w:p>
            <w:pPr>
              <w:pStyle w:val="Compact"/>
            </w:pPr>
            <m:oMath>
              <m:r>
                <m:t>x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Blue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\blue{y}</w:t>
            </w:r>
          </w:p>
        </w:tc>
        <w:tc>
          <w:tcPr/>
          <w:p>
            <w:pPr>
              <w:pStyle w:val="Compact"/>
            </w:pPr>
            <m:oMath>
              <m:r>
                <m:t>y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Green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\green{z}</w:t>
            </w:r>
          </w:p>
        </w:tc>
        <w:tc>
          <w:tcPr/>
          <w:p>
            <w:pPr>
              <w:pStyle w:val="Compact"/>
            </w:pPr>
            <m:oMath>
              <m:r>
                <m:t>z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Orange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\orange{\mu}</w:t>
            </w:r>
          </w:p>
        </w:tc>
        <w:tc>
          <w:tcPr/>
          <w:p>
            <w:pPr>
              <w:pStyle w:val="Compact"/>
            </w:pPr>
            <m:oMath>
              <m:r>
                <m:t>μ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Combined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\red{x} + \blue{y} = \green{z}</w:t>
            </w:r>
          </w:p>
        </w:tc>
        <w:tc>
          <w:tcPr/>
          <w:p>
            <w:pPr>
              <w:pStyle w:val="Compact"/>
            </w:pPr>
            <m:oMath>
              <m:r>
                <m:t>x</m:t>
              </m:r>
              <m:r>
                <m:rPr>
                  <m:sty m:val="p"/>
                </m:rPr>
                <m:t>+</m:t>
              </m:r>
              <m:r>
                <m:t>y</m:t>
              </m:r>
              <m:r>
                <m:rPr>
                  <m:sty m:val="p"/>
                </m:rPr>
                <m:t>=</m:t>
              </m:r>
              <m:r>
                <m:t>z</m:t>
              </m:r>
            </m:oMath>
            <w:r>
              <w:t xml:space="preserve">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Nested macros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X_i \sim_{\red{\ind}} \blue{\Normal}(\orange{\mu_i}, \green{\ss})</w:t>
            </w:r>
          </w:p>
        </w:tc>
        <w:tc>
          <w:tcPr/>
          <w:p>
            <w:pPr>
              <w:pStyle w:val="Compact"/>
            </w:pPr>
            <m:oMath>
              <m:sSub>
                <m:e>
                  <m:r>
                    <m:t>X</m:t>
                  </m:r>
                </m:e>
                <m:sub>
                  <m:r>
                    <m:t>i</m:t>
                  </m:r>
                </m:sub>
              </m:sSub>
              <m:sSub>
                <m:e>
                  <m:r>
                    <m:rPr>
                      <m:sty m:val="p"/>
                    </m:rPr>
                    <m:t>∼</m:t>
                  </m:r>
                </m:e>
                <m:sub>
                  <m:r>
                    <m:rPr>
                      <m:sty m:val="p"/>
                    </m:rPr>
                    <m:t>⟂</m:t>
                  </m:r>
                  <m:r>
                    <m:t>​</m:t>
                  </m:r>
                  <m:r>
                    <m:t>​</m:t>
                  </m:r>
                  <m:r>
                    <m:t>​</m:t>
                  </m:r>
                  <m:r>
                    <m:rPr>
                      <m:sty m:val="p"/>
                    </m:rPr>
                    <m:t>⟂</m:t>
                  </m:r>
                </m:sub>
              </m:sSub>
              <m:r>
                <m:rPr>
                  <m:sty m:val="p"/>
                </m:rPr>
                <m:t>N</m:t>
              </m:r>
              <m:r>
                <m:rPr>
                  <m:sty m:val="p"/>
                </m:rPr>
                <m:t>(</m:t>
              </m:r>
              <m:sSub>
                <m:e>
                  <m:r>
                    <m:t>μ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,</m:t>
              </m:r>
              <m:sSup>
                <m:e>
                  <m:r>
                    <m:t>σ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)</m:t>
              </m:r>
            </m:oMath>
            <w:r>
              <w:t xml:space="preserve">​</w:t>
            </w:r>
          </w:p>
        </w:tc>
      </w:tr>
    </w:tbl>
    <w:p>
      <w:pPr>
        <w:pStyle w:val="BlockText"/>
      </w:pPr>
      <w:r>
        <w:rPr>
          <w:b/>
          <w:bCs/>
        </w:rPr>
        <w:t xml:space="preserve">Note (docx):</w:t>
      </w:r>
      <w:r>
        <w:t xml:space="preserve"> </w:t>
      </w:r>
      <w:r>
        <w:t xml:space="preserve">as described above, the</w:t>
      </w:r>
      <w:r>
        <w:t xml:space="preserve"> </w:t>
      </w:r>
      <w:r>
        <w:rPr>
          <w:rStyle w:val="VerbatimChar"/>
        </w:rPr>
        <w:t xml:space="preserve">include-in-header</w:t>
      </w:r>
      <w:r>
        <w:t xml:space="preserve"> </w:t>
      </w:r>
      <w:r>
        <w:t xml:space="preserve">strategy does not load macros for docx output, so the color macros (like all other macros) are unavailable there. For docx, use the</w:t>
      </w:r>
      <w:r>
        <w:t xml:space="preserve"> </w:t>
      </w:r>
      <w:hyperlink r:id="rId12">
        <w:r>
          <w:rPr>
            <w:rStyle w:val="Hyperlink"/>
          </w:rPr>
          <w:t xml:space="preserve">include shortcode strategy</w:t>
        </w:r>
      </w:hyperlink>
      <w:r>
        <w:t xml:space="preserve"> </w:t>
      </w:r>
      <w:r>
        <w:t xml:space="preserve">instead.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demo-include-in-header-slides.html" TargetMode="External" /><Relationship Type="http://schemas.openxmlformats.org/officeDocument/2006/relationships/hyperlink" Id="rId12" Target="demo-shortcode.qmd" TargetMode="External" /><Relationship Type="http://schemas.openxmlformats.org/officeDocument/2006/relationships/hyperlink" Id="rId11" Target="https://en.wikibooks.org/wiki/LaTeX/Colors#Predefined_colo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demo-include-in-header-slides.html" TargetMode="External" /><Relationship Type="http://schemas.openxmlformats.org/officeDocument/2006/relationships/hyperlink" Id="rId12" Target="demo-shortcode.qmd" TargetMode="External" /><Relationship Type="http://schemas.openxmlformats.org/officeDocument/2006/relationships/hyperlink" Id="rId11" Target="https://en.wikibooks.org/wiki/LaTeX/Colors#Predefined_colo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Demo: Loading Macros via include-in-header</dc:title>
  <dc:creator/>
  <cp:keywords/>
  <dcterms:created xsi:type="dcterms:W3CDTF">2026-08-24T17:02:35Z</dcterms:created>
  <dcterms:modified xsi:type="dcterms:W3CDTF">2026-08-24T17:02:35Z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header-includes">
    <vt:lpwstr/>
  </property>
  <property fmtid="{D5CDD505-2E9C-101B-9397-08002B2CF9AE}" pid="4" name="include-after">
    <vt:lpwstr/>
  </property>
  <property fmtid="{D5CDD505-2E9C-101B-9397-08002B2CF9AE}" pid="5" name="include-before">
    <vt:lpwstr/>
  </property>
  <property fmtid="{D5CDD505-2E9C-101B-9397-08002B2CF9AE}" pid="6" name="labels">
    <vt:lpwstr/>
  </property>
  <property fmtid="{D5CDD505-2E9C-101B-9397-08002B2CF9AE}" pid="7" name="toc-title">
    <vt:lpwstr>Table of contents</vt:lpwstr>
  </property>
</Properties>
</file>